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
        </w:rPr>
      </w:pPr>
      <w:r>
        <w:rPr>
          <w:rFonts w:cs="Times New Roman" w:ascii="Times New Roman" w:hAnsi="Times New Roman"/>
          <w:sz w:val="2"/>
        </w:rPr>
      </w:r>
      <w:r>
        <mc:AlternateContent>
          <mc:Choice Requires="wps">
            <w:drawing>
              <wp:anchor behindDoc="0" distT="0" distB="0" distL="114300" distR="114300" simplePos="0" locked="0" layoutInCell="0" allowOverlap="1" relativeHeight="2">
                <wp:simplePos x="0" y="0"/>
                <wp:positionH relativeFrom="page">
                  <wp:posOffset>638810</wp:posOffset>
                </wp:positionH>
                <wp:positionV relativeFrom="paragraph">
                  <wp:posOffset>153035</wp:posOffset>
                </wp:positionV>
                <wp:extent cx="5943600" cy="167449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674495"/>
                        </a:xfrm>
                        <a:prstGeom prst="rect"/>
                        <a:solidFill>
                          <a:srgbClr val="FFFFFF">
                            <a:alpha val="0"/>
                          </a:srgbClr>
                        </a:solidFill>
                      </wps:spPr>
                      <wps:txbx>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1.85pt;mso-wrap-distance-left:9pt;mso-wrap-distance-right:9pt;mso-wrap-distance-top:0pt;mso-wrap-distance-bottom:0pt;margin-top:12.05pt;mso-position-vertical-relative:text;margin-left:50.3pt;mso-position-horizontal-relative:page">
                <v:fill opacity="0f"/>
                <v:textbox inset="0in,0in,0in,0in">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v:textbox>
                <w10:wrap type="square"/>
              </v:rect>
            </w:pict>
          </mc:Fallback>
        </mc:AlternateContent>
      </w:r>
    </w:p>
    <w:tbl>
      <w:tblPr>
        <w:tblW w:w="10618" w:type="dxa"/>
        <w:jc w:val="start"/>
        <w:tblInd w:w="200" w:type="dxa"/>
        <w:tblLayout w:type="fixed"/>
        <w:tblCellMar>
          <w:top w:w="0" w:type="dxa"/>
          <w:start w:w="108" w:type="dxa"/>
          <w:bottom w:w="0" w:type="dxa"/>
          <w:end w:w="108" w:type="dxa"/>
        </w:tblCellMar>
      </w:tblPr>
      <w:tblGrid>
        <w:gridCol w:w="1008"/>
        <w:gridCol w:w="6045"/>
        <w:gridCol w:w="1296"/>
        <w:gridCol w:w="2269"/>
      </w:tblGrid>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To:</w:t>
            </w:r>
          </w:p>
        </w:tc>
        <w:tc>
          <w:tcPr>
            <w:tcW w:w="6045" w:type="dxa"/>
            <w:tcBorders/>
          </w:tcPr>
          <w:p>
            <w:pPr>
              <w:pStyle w:val="To"/>
              <w:rPr>
                <w:rFonts w:ascii="Times New Roman" w:hAnsi="Times New Roman" w:cs="Times New Roman"/>
                <w:sz w:val="24"/>
                <w:szCs w:val="24"/>
              </w:rPr>
            </w:pPr>
            <w:r>
              <w:rPr>
                <w:rFonts w:cs="Times New Roman" w:ascii="Times New Roman" w:hAnsi="Times New Roman"/>
                <w:sz w:val="24"/>
                <w:szCs w:val="24"/>
              </w:rPr>
              <w:t>Barry Tycholiz</w:t>
            </w:r>
          </w:p>
        </w:tc>
        <w:tc>
          <w:tcPr>
            <w:tcW w:w="1296" w:type="dxa"/>
            <w:tcBorders/>
          </w:tcPr>
          <w:p>
            <w:pPr>
              <w:pStyle w:val="Normal"/>
              <w:snapToGrid w:val="false"/>
              <w:ind w:start="-180" w:end="0"/>
              <w:rPr>
                <w:rFonts w:ascii="Times New Roman" w:hAnsi="Times New Roman" w:cs="Times New Roman"/>
                <w:sz w:val="24"/>
                <w:szCs w:val="24"/>
              </w:rPr>
            </w:pPr>
            <w:r>
              <w:rPr>
                <w:rFonts w:cs="Times New Roman" w:ascii="Times New Roman" w:hAnsi="Times New Roman"/>
                <w:sz w:val="24"/>
                <w:szCs w:val="24"/>
              </w:rPr>
            </w:r>
          </w:p>
        </w:tc>
        <w:tc>
          <w:tcPr>
            <w:tcW w:w="2269"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00" w:hRule="exact"/>
        </w:trPr>
        <w:tc>
          <w:tcPr>
            <w:tcW w:w="1008" w:type="dxa"/>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6045" w:type="dxa"/>
            <w:tcBorders/>
          </w:tcPr>
          <w:p>
            <w:pPr>
              <w:pStyle w:val="To"/>
              <w:rPr>
                <w:rFonts w:ascii="Times New Roman" w:hAnsi="Times New Roman" w:cs="Times New Roman"/>
                <w:sz w:val="24"/>
                <w:szCs w:val="24"/>
              </w:rPr>
            </w:pPr>
            <w:r>
              <w:rPr>
                <w:rFonts w:cs="Times New Roman" w:ascii="Times New Roman" w:hAnsi="Times New Roman"/>
                <w:sz w:val="24"/>
                <w:szCs w:val="24"/>
              </w:rPr>
              <w:t>Kim  Ward</w:t>
            </w:r>
          </w:p>
        </w:tc>
        <w:tc>
          <w:tcPr>
            <w:tcW w:w="1296" w:type="dxa"/>
            <w:tcBorders/>
          </w:tcPr>
          <w:p>
            <w:pPr>
              <w:pStyle w:val="Normal"/>
              <w:snapToGrid w:val="false"/>
              <w:ind w:start="-180" w:end="0"/>
              <w:rPr>
                <w:rFonts w:ascii="Times New Roman" w:hAnsi="Times New Roman" w:cs="Times New Roman"/>
                <w:sz w:val="24"/>
                <w:szCs w:val="24"/>
              </w:rPr>
            </w:pPr>
            <w:r>
              <w:rPr>
                <w:rFonts w:cs="Times New Roman" w:ascii="Times New Roman" w:hAnsi="Times New Roman"/>
                <w:sz w:val="24"/>
                <w:szCs w:val="24"/>
              </w:rPr>
            </w:r>
          </w:p>
        </w:tc>
        <w:tc>
          <w:tcPr>
            <w:tcW w:w="2269"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00" w:hRule="exact"/>
        </w:trPr>
        <w:tc>
          <w:tcPr>
            <w:tcW w:w="1008" w:type="dxa"/>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6045" w:type="dxa"/>
            <w:tcBorders/>
          </w:tcPr>
          <w:p>
            <w:pPr>
              <w:pStyle w:val="To"/>
              <w:rPr>
                <w:rFonts w:ascii="Times New Roman" w:hAnsi="Times New Roman" w:cs="Times New Roman"/>
                <w:sz w:val="24"/>
                <w:szCs w:val="24"/>
              </w:rPr>
            </w:pPr>
            <w:r>
              <w:rPr>
                <w:rFonts w:cs="Times New Roman" w:ascii="Times New Roman" w:hAnsi="Times New Roman"/>
                <w:sz w:val="24"/>
                <w:szCs w:val="24"/>
              </w:rPr>
              <w:t>Jason Williams</w:t>
            </w:r>
          </w:p>
        </w:tc>
        <w:tc>
          <w:tcPr>
            <w:tcW w:w="1296" w:type="dxa"/>
            <w:tcBorders/>
          </w:tcPr>
          <w:p>
            <w:pPr>
              <w:pStyle w:val="Normal"/>
              <w:snapToGrid w:val="false"/>
              <w:ind w:start="-180" w:end="0"/>
              <w:rPr>
                <w:rFonts w:ascii="Times New Roman" w:hAnsi="Times New Roman" w:cs="Times New Roman"/>
                <w:sz w:val="24"/>
                <w:szCs w:val="24"/>
              </w:rPr>
            </w:pPr>
            <w:r>
              <w:rPr>
                <w:rFonts w:cs="Times New Roman" w:ascii="Times New Roman" w:hAnsi="Times New Roman"/>
                <w:sz w:val="24"/>
                <w:szCs w:val="24"/>
              </w:rPr>
            </w:r>
          </w:p>
          <w:p>
            <w:pPr>
              <w:pStyle w:val="Normal"/>
              <w:ind w:start="-180" w:end="0"/>
              <w:rPr>
                <w:rFonts w:ascii="Times New Roman" w:hAnsi="Times New Roman" w:cs="Times New Roman"/>
              </w:rPr>
            </w:pPr>
            <w:r>
              <w:rPr>
                <w:rFonts w:cs="Times New Roman" w:ascii="Times New Roman" w:hAnsi="Times New Roman"/>
              </w:rPr>
            </w:r>
          </w:p>
        </w:tc>
        <w:tc>
          <w:tcPr>
            <w:tcW w:w="2269"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1008" w:type="dxa"/>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269"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From:</w:t>
            </w:r>
          </w:p>
        </w:tc>
        <w:tc>
          <w:tcPr>
            <w:tcW w:w="6045" w:type="dxa"/>
            <w:tcBorders/>
          </w:tcPr>
          <w:p>
            <w:pPr>
              <w:pStyle w:val="From"/>
              <w:rPr>
                <w:rFonts w:ascii="Times New Roman" w:hAnsi="Times New Roman" w:cs="Times New Roman"/>
                <w:sz w:val="24"/>
                <w:szCs w:val="24"/>
              </w:rPr>
            </w:pPr>
            <w:r>
              <w:rPr>
                <w:rFonts w:cs="Times New Roman" w:ascii="Times New Roman" w:hAnsi="Times New Roman"/>
                <w:sz w:val="24"/>
                <w:szCs w:val="24"/>
              </w:rPr>
              <w:t>Stacy Dickson Granmayeh</w:t>
            </w:r>
          </w:p>
        </w:tc>
        <w:tc>
          <w:tcPr>
            <w:tcW w:w="1296" w:type="dxa"/>
            <w:tcBorders/>
          </w:tcPr>
          <w:p>
            <w:pPr>
              <w:pStyle w:val="Normal"/>
              <w:ind w:start="-180" w:end="0"/>
              <w:jc w:val="end"/>
              <w:rPr>
                <w:rFonts w:ascii="Times New Roman" w:hAnsi="Times New Roman" w:cs="Times New Roman"/>
              </w:rPr>
            </w:pPr>
            <w:r>
              <w:rPr>
                <w:rFonts w:cs="Times New Roman" w:ascii="Times New Roman" w:hAnsi="Times New Roman"/>
              </w:rPr>
              <w:t>Department:</w:t>
            </w:r>
          </w:p>
        </w:tc>
        <w:tc>
          <w:tcPr>
            <w:tcW w:w="2269" w:type="dxa"/>
            <w:tcBorders/>
          </w:tcPr>
          <w:p>
            <w:pPr>
              <w:pStyle w:val="Department"/>
              <w:rPr>
                <w:rFonts w:ascii="Times New Roman" w:hAnsi="Times New Roman" w:cs="Times New Roman"/>
                <w:sz w:val="24"/>
                <w:szCs w:val="24"/>
              </w:rPr>
            </w:pPr>
            <w:bookmarkStart w:id="0" w:name="From"/>
            <w:bookmarkEnd w:id="0"/>
            <w:r>
              <w:rPr>
                <w:rFonts w:cs="Times New Roman" w:ascii="Times New Roman" w:hAnsi="Times New Roman"/>
                <w:sz w:val="24"/>
                <w:szCs w:val="24"/>
              </w:rPr>
              <w:t>ENA - Legal</w:t>
            </w:r>
          </w:p>
        </w:tc>
      </w:tr>
      <w:tr>
        <w:trPr>
          <w:trHeight w:val="216" w:hRule="exact"/>
        </w:trPr>
        <w:tc>
          <w:tcPr>
            <w:tcW w:w="1008" w:type="dxa"/>
            <w:tcBorders/>
          </w:tcPr>
          <w:p>
            <w:pPr>
              <w:pStyle w:val="Normal"/>
              <w:snapToGrid w:val="false"/>
              <w:ind w:start="-180" w:end="0"/>
              <w:jc w:val="end"/>
              <w:rPr>
                <w:rFonts w:ascii="Times New Roman" w:hAnsi="Times New Roman" w:cs="Times New Roman"/>
                <w:sz w:val="24"/>
                <w:szCs w:val="24"/>
              </w:rPr>
            </w:pPr>
            <w:r>
              <w:rPr>
                <w:rFonts w:cs="Times New Roman" w:ascii="Times New Roman" w:hAnsi="Times New Roman"/>
                <w:sz w:val="24"/>
                <w:szCs w:val="24"/>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269"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6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Subject:</w:t>
            </w:r>
          </w:p>
        </w:tc>
        <w:tc>
          <w:tcPr>
            <w:tcW w:w="6045" w:type="dxa"/>
            <w:tcBorders/>
          </w:tcPr>
          <w:p>
            <w:pPr>
              <w:pStyle w:val="Subject"/>
              <w:rPr>
                <w:rFonts w:ascii="Times New Roman" w:hAnsi="Times New Roman" w:cs="Times New Roman"/>
                <w:b/>
                <w:bCs/>
                <w:sz w:val="24"/>
                <w:szCs w:val="24"/>
              </w:rPr>
            </w:pPr>
            <w:bookmarkStart w:id="1" w:name="tSubject"/>
            <w:bookmarkEnd w:id="1"/>
            <w:r>
              <w:rPr>
                <w:rFonts w:cs="Times New Roman" w:ascii="Times New Roman" w:hAnsi="Times New Roman"/>
                <w:b/>
                <w:bCs/>
                <w:sz w:val="24"/>
                <w:szCs w:val="24"/>
              </w:rPr>
              <w:t>California Department of Water Resources (“CDWR”)</w:t>
            </w:r>
          </w:p>
          <w:p>
            <w:pPr>
              <w:pStyle w:val="Subject"/>
              <w:rPr>
                <w:rFonts w:ascii="Times New Roman" w:hAnsi="Times New Roman" w:cs="Times New Roman"/>
                <w:b/>
                <w:bCs/>
                <w:sz w:val="24"/>
                <w:szCs w:val="24"/>
              </w:rPr>
            </w:pPr>
            <w:r>
              <w:rPr>
                <w:rFonts w:cs="Times New Roman" w:ascii="Times New Roman" w:hAnsi="Times New Roman"/>
                <w:b/>
                <w:bCs/>
                <w:sz w:val="24"/>
                <w:szCs w:val="24"/>
              </w:rPr>
              <w:t>Draft GISB Agreement</w:t>
            </w:r>
          </w:p>
        </w:tc>
        <w:tc>
          <w:tcPr>
            <w:tcW w:w="1296" w:type="dxa"/>
            <w:tcBorders/>
          </w:tcPr>
          <w:p>
            <w:pPr>
              <w:pStyle w:val="Normal"/>
              <w:ind w:start="-180" w:end="0"/>
              <w:jc w:val="end"/>
              <w:rPr>
                <w:rFonts w:ascii="Times New Roman" w:hAnsi="Times New Roman" w:cs="Times New Roman"/>
              </w:rPr>
            </w:pPr>
            <w:r>
              <w:rPr>
                <w:rFonts w:cs="Times New Roman" w:ascii="Times New Roman" w:hAnsi="Times New Roman"/>
              </w:rPr>
              <w:t>Date:</w:t>
            </w:r>
          </w:p>
        </w:tc>
        <w:tc>
          <w:tcPr>
            <w:tcW w:w="2269" w:type="dxa"/>
            <w:tcBorders/>
          </w:tcPr>
          <w:p>
            <w:pPr>
              <w:pStyle w:val="Date"/>
              <w:rPr>
                <w:rFonts w:ascii="Times New Roman" w:hAnsi="Times New Roman" w:cs="Times New Roman"/>
                <w:sz w:val="24"/>
                <w:szCs w:val="24"/>
              </w:rPr>
            </w:pPr>
            <w:r>
              <w:rPr>
                <w:rFonts w:cs="Times New Roman" w:ascii="Times New Roman" w:hAnsi="Times New Roman"/>
                <w:sz w:val="24"/>
                <w:szCs w:val="24"/>
              </w:rPr>
              <w:t>September 26, 2001</w:t>
            </w:r>
          </w:p>
        </w:tc>
      </w:tr>
      <w:tr>
        <w:trPr>
          <w:trHeight w:val="600" w:hRule="exact"/>
        </w:trPr>
        <w:tc>
          <w:tcPr>
            <w:tcW w:w="1008" w:type="dxa"/>
            <w:tcBorders>
              <w:bottom w:val="single" w:sz="12" w:space="0" w:color="000000"/>
            </w:tcBorders>
          </w:tcPr>
          <w:p>
            <w:pPr>
              <w:pStyle w:val="Normal"/>
              <w:snapToGrid w:val="false"/>
              <w:ind w:start="-180" w:end="0"/>
              <w:jc w:val="end"/>
              <w:rPr>
                <w:rFonts w:ascii="Times New Roman" w:hAnsi="Times New Roman" w:cs="Times New Roman"/>
                <w:sz w:val="24"/>
                <w:szCs w:val="24"/>
              </w:rPr>
            </w:pPr>
            <w:r>
              <w:rPr>
                <w:rFonts w:cs="Times New Roman" w:ascii="Times New Roman" w:hAnsi="Times New Roman"/>
                <w:sz w:val="24"/>
                <w:szCs w:val="24"/>
              </w:rPr>
            </w:r>
          </w:p>
        </w:tc>
        <w:tc>
          <w:tcPr>
            <w:tcW w:w="6045" w:type="dxa"/>
            <w:tcBorders>
              <w:bottom w:val="single" w:sz="12" w:space="0" w:color="000000"/>
            </w:tcBorders>
          </w:tcPr>
          <w:p>
            <w:pPr>
              <w:pStyle w:val="Subject"/>
              <w:snapToGrid w:val="false"/>
              <w:rPr>
                <w:rFonts w:ascii="Times New Roman" w:hAnsi="Times New Roman" w:cs="Times New Roman"/>
                <w:b/>
                <w:bCs/>
                <w:sz w:val="24"/>
                <w:szCs w:val="24"/>
              </w:rPr>
            </w:pPr>
            <w:r>
              <w:rPr>
                <w:rFonts w:cs="Times New Roman" w:ascii="Times New Roman" w:hAnsi="Times New Roman"/>
                <w:b/>
                <w:bCs/>
                <w:sz w:val="24"/>
                <w:szCs w:val="24"/>
              </w:rPr>
            </w:r>
          </w:p>
        </w:tc>
        <w:tc>
          <w:tcPr>
            <w:tcW w:w="1296" w:type="dxa"/>
            <w:tcBorders>
              <w:bottom w:val="single" w:sz="12" w:space="0" w:color="000000"/>
            </w:tcBorders>
          </w:tcPr>
          <w:p>
            <w:pPr>
              <w:pStyle w:val="Normal"/>
              <w:snapToGrid w:val="false"/>
              <w:ind w:start="-180" w:end="0"/>
              <w:jc w:val="end"/>
              <w:rPr>
                <w:rFonts w:ascii="Times New Roman" w:hAnsi="Times New Roman" w:cs="Times New Roman"/>
                <w:b/>
                <w:bCs/>
                <w:sz w:val="24"/>
                <w:szCs w:val="24"/>
              </w:rPr>
            </w:pPr>
            <w:r>
              <w:rPr>
                <w:rFonts w:cs="Times New Roman" w:ascii="Times New Roman" w:hAnsi="Times New Roman"/>
                <w:b/>
                <w:bCs/>
                <w:sz w:val="24"/>
                <w:szCs w:val="24"/>
              </w:rPr>
            </w:r>
          </w:p>
        </w:tc>
        <w:tc>
          <w:tcPr>
            <w:tcW w:w="2269" w:type="dxa"/>
            <w:tcBorders>
              <w:bottom w:val="single" w:sz="12" w:space="0" w:color="000000"/>
            </w:tcBorders>
          </w:tcPr>
          <w:p>
            <w:pPr>
              <w:pStyle w:val="Date"/>
              <w:snapToGrid w:val="false"/>
              <w:rPr>
                <w:rFonts w:ascii="Times New Roman" w:hAnsi="Times New Roman" w:cs="Times New Roman"/>
                <w:sz w:val="24"/>
                <w:szCs w:val="24"/>
              </w:rPr>
            </w:pPr>
            <w:r>
              <w:rPr>
                <w:rFonts w:cs="Times New Roman" w:ascii="Times New Roman" w:hAnsi="Times New Roman"/>
                <w:sz w:val="24"/>
                <w:szCs w:val="24"/>
              </w:rPr>
            </w:r>
          </w:p>
        </w:tc>
      </w:tr>
    </w:tbl>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bookmarkStart w:id="2" w:name="StartOfMemo"/>
      <w:bookmarkStart w:id="3" w:name="StartOfMemo"/>
      <w:bookmarkEnd w:id="3"/>
    </w:p>
    <w:p>
      <w:pPr>
        <w:pStyle w:val="CopyList"/>
        <w:tabs>
          <w:tab w:val="clear" w:pos="504"/>
        </w:tabs>
        <w:spacing w:before="0" w:after="0"/>
        <w:ind w:hanging="0" w:start="72" w:end="0"/>
        <w:jc w:val="both"/>
        <w:rPr>
          <w:rFonts w:ascii="Times New Roman" w:hAnsi="Times New Roman" w:cs="Times New Roman"/>
          <w:b/>
          <w:bCs/>
          <w:sz w:val="24"/>
          <w:szCs w:val="24"/>
          <w:u w:val="single"/>
        </w:rPr>
      </w:pPr>
      <w:r>
        <w:rPr>
          <w:rFonts w:cs="Times New Roman" w:ascii="Times New Roman" w:hAnsi="Times New Roman"/>
          <w:b/>
          <w:bCs/>
          <w:sz w:val="24"/>
          <w:szCs w:val="24"/>
          <w:u w:val="single"/>
        </w:rPr>
        <w:t>The Contract</w:t>
      </w:r>
    </w:p>
    <w:p>
      <w:pPr>
        <w:pStyle w:val="CopyList"/>
        <w:tabs>
          <w:tab w:val="clear" w:pos="504"/>
        </w:tabs>
        <w:spacing w:before="0" w:after="0"/>
        <w:ind w:hanging="0" w:start="72" w:end="0"/>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 xml:space="preserve">I have reviewed the above-referenced agreement.  Below are my comments.  I have tried to limit my comments to those most critical to ENA.  </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In the box used to select the Confirming Party, CDWR has selected both parties.  ENA alone should be the Confirming Party.</w:t>
      </w:r>
    </w:p>
    <w:p>
      <w:pPr>
        <w:pStyle w:val="CopyList"/>
        <w:tabs>
          <w:tab w:val="clear" w:pos="504"/>
        </w:tabs>
        <w:spacing w:before="0" w:after="0"/>
        <w:ind w:hanging="0" w:start="717"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CDWR chose the Cover Standard to calculate the damages for non-performance.  ENA uses the Spot Standard.  ENA does too many transactions each day to be able to identify which deal we entered into to cover CDWR’s non-performance.  Additionally, ENA does not want to open its books to CDWR for an audit to prove up which transactions we entered into to cover CDWR’s non-performance.</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Alter 1.1.1 of CDWR’s Special Provisions to limit the Period of Delivery of firm transactions to one month and interruptible transactions to one year.</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references to “Buyer” in Sections 10.3, 10.4, 10.5, 10.6 and 13.9 should be changed to “California Department of Water Resources”.</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I assume that Credit would prefer to strike the first and second sentence of Section 10.3.  Additionally, Credit may want to change other parts of Section 10.3.</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Note that CDWR’s obligations to make payment are limited solely to the Fund (discussed below).  ENA would not be able to go after any other assets of CDWR or of the state of California to receive payment.</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Note Section 10.5 states that payments for natural gas constitute an operating expense of the Fund and would be paid prior to the bond payments.  I do not think this statement would be effective in the event CDWR decides not to pay ENA.</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Delete Section 13.10.  ENA does not have the ability to limit the designated representatives of CDWR that are authorized to enter into transactions to the two people listed.</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assignment provision in Section 13.1 allows a party to transfer the contract to any parent or affiliate by assignment merger or otherwise without prior consent of the other party.  Based on previous actions by the state of California, CDWR may assign a contract it entered into with ENA to either the California Power Authority or the utilities, without ENA’s consent.</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t>As a side note -- EPMI did not enter into a master agreement with CDWR because the legal risks and uncertainty were too great.</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jc w:val="both"/>
        <w:rPr>
          <w:rFonts w:ascii="Times New Roman" w:hAnsi="Times New Roman" w:cs="Times New Roman"/>
          <w:sz w:val="24"/>
          <w:szCs w:val="24"/>
        </w:rPr>
      </w:pPr>
      <w:r>
        <w:rPr>
          <w:rFonts w:cs="Times New Roman" w:ascii="Times New Roman" w:hAnsi="Times New Roman"/>
          <w:b/>
          <w:bCs/>
          <w:sz w:val="24"/>
          <w:szCs w:val="24"/>
          <w:u w:val="single"/>
        </w:rPr>
        <w:t>The Fund</w:t>
      </w:r>
    </w:p>
    <w:p>
      <w:pPr>
        <w:pStyle w:val="CopyList"/>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t>I have attached the applicable sections of the Water Code that created the Department of Water Resources Electric Power Fund (the “Fund”).  I have also consulted with outside counsel that worked on the negotiations of a power agreement regarding the Fund.  Below is a summary of what I have found.</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t>The Fund was originally created as a mechanism which allowed CDWR to purchase electricity to supply the investor-owned utilities (“IOU”) in the state for the sale to customers.  The language creating the Fund speaks to payments for “the cost of electric power and transmission, scheduling, and other related expenses incurred by the department.  The language does not specifically allow for payments for the cost of natural gas.  In fact, it was not anticipated at the Fund’s creation that CDWR would be purchasing natural gas.  Other language in the Water Code states that “payments by the Fund may be made only for the purposes authorized by this division…”  CDWR could use the fact that natural gas is not specifically authorized in the Water Code to avoid payment ENA.</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t>The code that created the Fund anticipates the issuance of bonds to fund the Fund.  Originally the bonds were to be issued in early June.  The issuance date has been moved to October or November.  The issuance of bonds is important to ENA because (assuming natural gas is deemed to be an operational and maintenance expense allowed to be paid by the Fund) all operational and maintenance expenses must be paid prior to payments to bondholders.  Therefore, upon the issuance of bonds the Fund must be funded sufficient to satisfy bond payments.  Prior to the issuance of bonds, there is no requirement that the Fund be funded adequately to cover operational and maintenance expenses.  This could allow CDWR to take those steps necessary to  underfund the Fund.  As a side note, PG&amp;E and SoCal are already in a dispute with CDWR regarding the level of funding of the Fund.</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t>Another difficulty in dealing with CDWR is that they would not be purchasing ENA’s gas for use in their own facilities.  They are effectively acting as a marketer or broker of natural gas when they purchase gas to sell to the generators from whom they are purchasing electricity.  The danger is that CDWR’s actions would be held not to be covered by public contract laws and be considered outside the scope of governmental actions.</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t>As this memo has detailed there are a number of concerns in selling gas to CDWR.  Because of the nature of the structure under which CDWR would be purchasing ENA’s gas it would be very difficult to collect any money owed to ENA for gas delivered should CDWR decide for whatever reason that it did not want to pay for the gas.</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t>Please call me with any questions or comments at x3-5705.</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t>cc:  Jeff Hodge</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4"/>
      <w:headerReference w:type="first" r:id="rId5"/>
      <w:footerReference w:type="default" r:id="rId6"/>
      <w:footerReference w:type="first" r:id="rId7"/>
      <w:type w:val="nextPage"/>
      <w:pgSz w:w="12240" w:h="15840"/>
      <w:pgMar w:left="1440" w:right="144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/mnt/main-storage/datasets/enron-docs/doc/Kim_Ward_CDWR_9_26_01.doc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/mnt/main-storage/datasets/enron-docs/doc/Kim_Ward_CDWR_9_26_01.doc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704850"/>
              <wp:effectExtent l="0" t="0" r="0" b="0"/>
              <wp:wrapSquare wrapText="bothSides"/>
              <wp:docPr id="4" name="Frame2"/>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37"/>
        </w:tabs>
        <w:ind w:start="1437"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autoSpaceDE w:val="false"/>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bCs/>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sz w:val="24"/>
    </w:rPr>
  </w:style>
  <w:style w:type="paragraph" w:styleId="Heading3">
    <w:name w:val="heading 3"/>
    <w:basedOn w:val="Normal"/>
    <w:next w:val="NormalIndent"/>
    <w:qFormat/>
    <w:pPr>
      <w:numPr>
        <w:ilvl w:val="2"/>
        <w:numId w:val="1"/>
      </w:numPr>
      <w:ind w:hanging="0" w:start="360" w:end="0"/>
      <w:outlineLvl w:val="2"/>
    </w:pPr>
    <w:rPr>
      <w:rFonts w:ascii="CG Times (WN)" w:hAnsi="CG Times (WN)" w:cs="Times New Roman"/>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Cs w:val="20"/>
    </w:rPr>
  </w:style>
  <w:style w:type="paragraph" w:styleId="Date">
    <w:name w:val="Date"/>
    <w:basedOn w:val="Normal"/>
    <w:qFormat/>
    <w:pPr>
      <w:tabs>
        <w:tab w:val="clear" w:pos="540"/>
      </w:tabs>
    </w:pPr>
    <w:rPr>
      <w:szCs w:val="20"/>
    </w:rPr>
  </w:style>
  <w:style w:type="paragraph" w:styleId="To">
    <w:name w:val="To"/>
    <w:basedOn w:val="Normal"/>
    <w:qFormat/>
    <w:pPr>
      <w:tabs>
        <w:tab w:val="clear" w:pos="540"/>
      </w:tabs>
    </w:pPr>
    <w:rPr>
      <w:szCs w:val="20"/>
    </w:rPr>
  </w:style>
  <w:style w:type="paragraph" w:styleId="From">
    <w:name w:val="From"/>
    <w:basedOn w:val="Normal"/>
    <w:qFormat/>
    <w:pPr>
      <w:tabs>
        <w:tab w:val="clear" w:pos="540"/>
      </w:tabs>
    </w:pPr>
    <w:rPr>
      <w:szCs w:val="20"/>
    </w:rPr>
  </w:style>
  <w:style w:type="paragraph" w:styleId="CopyList">
    <w:name w:val="CopyList"/>
    <w:basedOn w:val="Normal"/>
    <w:qFormat/>
    <w:pPr>
      <w:tabs>
        <w:tab w:val="clear" w:pos="540"/>
        <w:tab w:val="left" w:pos="504" w:leader="none"/>
      </w:tabs>
      <w:spacing w:before="360" w:after="0"/>
      <w:ind w:hanging="504" w:start="576" w:end="0"/>
    </w:pPr>
    <w:rPr>
      <w:szCs w:val="20"/>
    </w:rPr>
  </w:style>
  <w:style w:type="paragraph" w:styleId="Body">
    <w:name w:val="Body"/>
    <w:basedOn w:val="Normal"/>
    <w:qFormat/>
    <w:pPr>
      <w:tabs>
        <w:tab w:val="clear" w:pos="540"/>
      </w:tabs>
      <w:ind w:hanging="0" w:start="72" w:end="0"/>
    </w:pPr>
    <w:rPr>
      <w:color w:val="000080"/>
      <w:szCs w:val="20"/>
    </w:rPr>
  </w:style>
  <w:style w:type="paragraph" w:styleId="Department">
    <w:name w:val="Department"/>
    <w:basedOn w:val="Normal"/>
    <w:qFormat/>
    <w:pPr>
      <w:tabs>
        <w:tab w:val="clear" w:pos="540"/>
      </w:tabs>
    </w:pPr>
    <w:rPr>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2001-09-26T16:26:00Z</dcterms:created>
  <dc:creator>ECT</dc:creator>
  <dc:description/>
  <dc:language>en-CA</dc:language>
  <cp:lastModifiedBy>sdickso</cp:lastModifiedBy>
  <cp:lastPrinted>2001-09-26T15:35:00Z</cp:lastPrinted>
  <dcterms:modified xsi:type="dcterms:W3CDTF">2001-09-26T18:05:00Z</dcterms:modified>
  <cp:revision>4</cp:revision>
  <dc:subject>The Subject of the Memo</dc:subject>
  <dc:title> 	</dc:title>
</cp:coreProperties>
</file>