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2160" w:type="dxa"/>
            <w:tcBorders/>
          </w:tcPr>
          <w:p>
            <w:pPr>
              <w:pStyle w:val="SectionTitle"/>
              <w:spacing w:lineRule="atLeast" w:line="220" w:before="220" w:after="0"/>
              <w:rPr/>
            </w:pPr>
            <w:r>
              <w:rPr/>
              <w:t>Objective</w:t>
            </w:r>
          </w:p>
        </w:tc>
        <w:tc>
          <w:tcPr>
            <w:tcW w:w="6667" w:type="dxa"/>
            <w:tcBorders/>
          </w:tcPr>
          <w:p>
            <w:pPr>
              <w:pStyle w:val="Objective"/>
              <w:spacing w:lineRule="atLeast" w:line="220" w:before="240" w:after="220"/>
              <w:rPr/>
            </w:pPr>
            <w:r>
              <w:rPr/>
              <w:t>Applying my knowledge of derivatives to the energy markets.</w:t>
            </w:r>
          </w:p>
        </w:tc>
      </w:tr>
      <w:tr>
        <w:trPr/>
        <w:tc>
          <w:tcPr>
            <w:tcW w:w="2160" w:type="dxa"/>
            <w:tcBorders/>
          </w:tcPr>
          <w:p>
            <w:pPr>
              <w:pStyle w:val="SectionTitle"/>
              <w:spacing w:lineRule="atLeast" w:line="220" w:before="220" w:after="0"/>
              <w:rPr/>
            </w:pPr>
            <w:r>
              <w:rPr/>
              <w:t>Experience</w:t>
            </w:r>
          </w:p>
        </w:tc>
        <w:tc>
          <w:tcPr>
            <w:tcW w:w="6667" w:type="dxa"/>
            <w:tcBorders/>
          </w:tcPr>
          <w:p>
            <w:pPr>
              <w:pStyle w:val="CompanyNameOne"/>
              <w:spacing w:before="240" w:after="40"/>
              <w:rPr/>
            </w:pPr>
            <w:r>
              <w:rPr/>
              <w:t>08/99 - Present</w:t>
              <w:tab/>
              <w:t>Godel Partners LLC,                 New York, NY</w:t>
            </w:r>
          </w:p>
          <w:p>
            <w:pPr>
              <w:pStyle w:val="JobTitle"/>
              <w:rPr/>
            </w:pPr>
            <w:r>
              <w:rPr/>
              <w:t>Senior Portfolio Manager</w:t>
            </w:r>
          </w:p>
          <w:p>
            <w:pPr>
              <w:pStyle w:val="Achievement"/>
              <w:numPr>
                <w:ilvl w:val="0"/>
                <w:numId w:val="2"/>
              </w:numPr>
              <w:spacing w:before="120" w:after="120"/>
              <w:ind w:hanging="0" w:start="0"/>
              <w:rPr/>
            </w:pPr>
            <w:r>
              <w:rPr/>
              <w:t>Started and managed a macro hedge fund in partnership with Albert Friedberg.  Frequently presented analysis of market macro and micro developments to him and the Friedberg Mercantile Group Investment Committee.</w:t>
            </w:r>
          </w:p>
        </w:tc>
      </w:tr>
      <w:tr>
        <w:trPr/>
        <w:tc>
          <w:tcPr>
            <w:tcW w:w="2160" w:type="dxa"/>
            <w:tcBorders/>
          </w:tcPr>
          <w:p>
            <w:pPr>
              <w:pStyle w:val="Normal"/>
              <w:snapToGrid w:val="false"/>
              <w:rPr/>
            </w:pPr>
            <w:r>
              <w:rPr/>
            </w:r>
          </w:p>
        </w:tc>
        <w:tc>
          <w:tcPr>
            <w:tcW w:w="6667" w:type="dxa"/>
            <w:tcBorders/>
          </w:tcPr>
          <w:p>
            <w:pPr>
              <w:pStyle w:val="CompanyName"/>
              <w:spacing w:lineRule="atLeast" w:line="220" w:before="240" w:after="40"/>
              <w:rPr/>
            </w:pPr>
            <w:r>
              <w:rPr/>
              <w:t>02/96- 12/98</w:t>
              <w:tab/>
              <w:t xml:space="preserve">DKBI                                              London,   UK </w:t>
            </w:r>
          </w:p>
          <w:p>
            <w:pPr>
              <w:pStyle w:val="JobTitle"/>
              <w:rPr/>
            </w:pPr>
            <w:r>
              <w:rPr/>
              <w:t xml:space="preserve">Associate Director  </w:t>
            </w:r>
          </w:p>
          <w:p>
            <w:pPr>
              <w:pStyle w:val="Achievement"/>
              <w:numPr>
                <w:ilvl w:val="0"/>
                <w:numId w:val="2"/>
              </w:numPr>
              <w:spacing w:before="120" w:after="120"/>
              <w:ind w:hanging="0" w:start="0"/>
              <w:rPr/>
            </w:pPr>
            <w:r>
              <w:rPr/>
              <w:t>Headed team trading European interest rate options. Initiated strategic position taking to profit from the major misalignment of German yield curve during the process of EMU creation.  Benefited from occasional mispricing of OTC and exchange traded instruments.</w:t>
            </w:r>
          </w:p>
        </w:tc>
      </w:tr>
      <w:tr>
        <w:trPr/>
        <w:tc>
          <w:tcPr>
            <w:tcW w:w="2160" w:type="dxa"/>
            <w:tcBorders/>
          </w:tcPr>
          <w:p>
            <w:pPr>
              <w:pStyle w:val="Normal"/>
              <w:snapToGrid w:val="false"/>
              <w:rPr/>
            </w:pPr>
            <w:r>
              <w:rPr/>
            </w:r>
          </w:p>
        </w:tc>
        <w:tc>
          <w:tcPr>
            <w:tcW w:w="6667" w:type="dxa"/>
            <w:tcBorders/>
          </w:tcPr>
          <w:p>
            <w:pPr>
              <w:pStyle w:val="CompanyName"/>
              <w:spacing w:lineRule="atLeast" w:line="220" w:before="240" w:after="40"/>
              <w:rPr/>
            </w:pPr>
            <w:r>
              <w:rPr/>
              <w:t>9/89-1/95</w:t>
              <w:tab/>
              <w:t>Goldman, Sachs &amp; Co.</w:t>
              <w:tab/>
              <w:t>New York, NY</w:t>
            </w:r>
          </w:p>
          <w:p>
            <w:pPr>
              <w:pStyle w:val="JobTitle"/>
              <w:rPr/>
            </w:pPr>
            <w:r>
              <w:rPr/>
              <w:t xml:space="preserve">Vice President </w:t>
            </w:r>
          </w:p>
          <w:p>
            <w:pPr>
              <w:pStyle w:val="Achievement"/>
              <w:numPr>
                <w:ilvl w:val="0"/>
                <w:numId w:val="2"/>
              </w:numPr>
              <w:spacing w:before="120" w:after="120"/>
              <w:ind w:hanging="0" w:start="0"/>
              <w:rPr/>
            </w:pPr>
            <w:r>
              <w:rPr/>
              <w:t xml:space="preserve">Co-set up a very profitable swaps trading operation for Goldman, Sachs. Traded variety of fixed income derivative products: swaps, swaptions, caps and US government bond options. Occasionally involved in Goldman Sachs investment banking effort in Poland stemming from Brady Plan of debt restructuring. Conducted proprietary studies of financial market anomalies from chaos theory to analysis of news effects on the bond market. Also traded for the proprietary account of the firm G-10 bonds, currencies, stock indexes. </w:t>
            </w:r>
          </w:p>
        </w:tc>
      </w:tr>
      <w:tr>
        <w:trPr/>
        <w:tc>
          <w:tcPr>
            <w:tcW w:w="2160" w:type="dxa"/>
            <w:tcBorders/>
          </w:tcPr>
          <w:p>
            <w:pPr>
              <w:pStyle w:val="Normal"/>
              <w:snapToGrid w:val="false"/>
              <w:rPr/>
            </w:pPr>
            <w:r>
              <w:rPr/>
            </w:r>
          </w:p>
        </w:tc>
        <w:tc>
          <w:tcPr>
            <w:tcW w:w="6667" w:type="dxa"/>
            <w:tcBorders/>
          </w:tcPr>
          <w:p>
            <w:pPr>
              <w:pStyle w:val="CompanyName"/>
              <w:spacing w:lineRule="atLeast" w:line="220" w:before="240" w:after="40"/>
              <w:rPr/>
            </w:pPr>
            <w:r>
              <w:rPr/>
              <w:t>07/86- 8/89</w:t>
              <w:tab/>
              <w:t>Salomon Brothers Inc.</w:t>
              <w:tab/>
              <w:t>New York, NY</w:t>
            </w:r>
          </w:p>
          <w:p>
            <w:pPr>
              <w:pStyle w:val="JobTitle"/>
              <w:rPr/>
            </w:pPr>
            <w:r>
              <w:rPr/>
              <w:t>Associate</w:t>
            </w:r>
          </w:p>
          <w:p>
            <w:pPr>
              <w:pStyle w:val="Achievement"/>
              <w:numPr>
                <w:ilvl w:val="0"/>
                <w:numId w:val="2"/>
              </w:numPr>
              <w:spacing w:before="120" w:after="120"/>
              <w:ind w:hanging="0" w:start="0"/>
              <w:rPr/>
            </w:pPr>
            <w:r>
              <w:rPr/>
              <w:t>Conducted proprietary research for the bond arbitrage desk of John Meriwether. Developed advanced models of term structure for pricing and hedging the entire structure of fixed income derivatives products, which were central to the desk activities.</w:t>
            </w:r>
          </w:p>
        </w:tc>
      </w:tr>
      <w:tr>
        <w:trPr/>
        <w:tc>
          <w:tcPr>
            <w:tcW w:w="2160" w:type="dxa"/>
            <w:tcBorders/>
          </w:tcPr>
          <w:p>
            <w:pPr>
              <w:pStyle w:val="SectionTitle"/>
              <w:spacing w:lineRule="atLeast" w:line="220" w:before="220" w:after="0"/>
              <w:rPr/>
            </w:pPr>
            <w:r>
              <w:rPr/>
              <w:t>Education</w:t>
            </w:r>
          </w:p>
        </w:tc>
        <w:tc>
          <w:tcPr>
            <w:tcW w:w="6667" w:type="dxa"/>
            <w:tcBorders/>
          </w:tcPr>
          <w:p>
            <w:pPr>
              <w:pStyle w:val="Institution"/>
              <w:spacing w:lineRule="atLeast" w:line="220" w:before="240" w:after="60"/>
              <w:rPr/>
            </w:pPr>
            <w:r>
              <w:rPr/>
              <w:t xml:space="preserve">MIT/ Berkeley </w:t>
              <w:tab/>
              <w:t xml:space="preserve">Cambridge,  MA </w:t>
              <w:tab/>
              <w:t>Berkeley, CA</w:t>
            </w:r>
          </w:p>
          <w:p>
            <w:pPr>
              <w:pStyle w:val="Achievement"/>
              <w:numPr>
                <w:ilvl w:val="0"/>
                <w:numId w:val="2"/>
              </w:numPr>
              <w:spacing w:before="120" w:after="120"/>
              <w:ind w:hanging="0" w:start="0"/>
              <w:rPr/>
            </w:pPr>
            <w:r>
              <w:rPr/>
              <w:t>Ph.D. degree in mathematics. Studied finance under Nobel Laureate in Economics, Robert Merton</w:t>
            </w:r>
          </w:p>
        </w:tc>
      </w:tr>
      <w:tr>
        <w:trPr/>
        <w:tc>
          <w:tcPr>
            <w:tcW w:w="2160" w:type="dxa"/>
            <w:tcBorders/>
          </w:tcPr>
          <w:p>
            <w:pPr>
              <w:pStyle w:val="SectionTitle"/>
              <w:spacing w:lineRule="atLeast" w:line="220" w:before="220" w:after="0"/>
              <w:rPr/>
            </w:pPr>
            <w:r>
              <w:rPr/>
              <w:t>Interests</w:t>
            </w:r>
          </w:p>
        </w:tc>
        <w:tc>
          <w:tcPr>
            <w:tcW w:w="6667" w:type="dxa"/>
            <w:tcBorders/>
          </w:tcPr>
          <w:p>
            <w:pPr>
              <w:pStyle w:val="Institution"/>
              <w:spacing w:lineRule="atLeast" w:line="220" w:before="240" w:after="60"/>
              <w:rPr/>
            </w:pPr>
            <w:r>
              <w:rPr/>
              <w:t>New technologies, history of decision making, people and tennis.</w:t>
            </w:r>
          </w:p>
          <w:p>
            <w:pPr>
              <w:pStyle w:val="Achievement"/>
              <w:numPr>
                <w:ilvl w:val="0"/>
                <w:numId w:val="0"/>
              </w:numPr>
              <w:spacing w:before="0" w:after="60"/>
              <w:ind w:hanging="0" w:start="0"/>
              <w:rPr/>
            </w:pPr>
            <w:r>
              <w:rPr/>
            </w:r>
          </w:p>
        </w:tc>
      </w:tr>
      <w:tr>
        <w:trPr/>
        <w:tc>
          <w:tcPr>
            <w:tcW w:w="2160" w:type="dxa"/>
            <w:tcBorders/>
          </w:tcPr>
          <w:p>
            <w:pPr>
              <w:pStyle w:val="SectionTitle"/>
              <w:snapToGrid w:val="false"/>
              <w:spacing w:before="220" w:after="0"/>
              <w:rPr/>
            </w:pPr>
            <w:r>
              <w:rPr/>
            </w:r>
          </w:p>
        </w:tc>
        <w:tc>
          <w:tcPr>
            <w:tcW w:w="6667" w:type="dxa"/>
            <w:tcBorders/>
          </w:tcPr>
          <w:p>
            <w:pPr>
              <w:pStyle w:val="Objective"/>
              <w:snapToGrid w:val="false"/>
              <w:spacing w:before="240" w:after="220"/>
              <w:rPr/>
            </w:pPr>
            <w:r>
              <w:rPr/>
            </w:r>
          </w:p>
        </w:tc>
      </w:tr>
    </w:tbl>
    <w:p>
      <w:pPr>
        <w:pStyle w:val="Normal"/>
        <w:rPr/>
      </w:pPr>
      <w:r>
        <w:rPr/>
      </w:r>
    </w:p>
    <w:p>
      <w:pPr>
        <w:pStyle w:val="Normal"/>
        <w:rPr/>
      </w:pPr>
      <w:r>
        <w:rPr/>
      </w:r>
    </w:p>
    <w:p>
      <w:pPr>
        <w:pStyle w:val="Normal"/>
        <w:rPr/>
      </w:pPr>
      <w:r>
        <w:rPr/>
      </w:r>
    </w:p>
    <w:sectPr>
      <w:headerReference w:type="default" r:id="rId2"/>
      <w:headerReference w:type="first" r:id="rId3"/>
      <w:type w:val="nextPage"/>
      <w:pgSz w:w="12240" w:h="15840"/>
      <w:pgMar w:left="1440" w:right="1440" w:gutter="0" w:header="965" w:top="1872"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ddress2"/>
      <w:ind w:firstLine="180" w:start="-180" w:end="0"/>
      <w:jc w:val="center"/>
      <w:rPr/>
    </w:pPr>
    <w:r>
      <w:rPr>
        <w:rFonts w:eastAsia="Arial"/>
      </w:rPr>
      <w:t xml:space="preserve"> </w:t>
    </w:r>
    <w:r>
      <w:rPr>
        <w:b/>
        <w:sz w:val="24"/>
      </w:rPr>
      <w:t>Mark Kierlanczyk</w:t>
    </w:r>
  </w:p>
  <w:p>
    <w:pPr>
      <w:pStyle w:val="Address2"/>
      <w:ind w:firstLine="180" w:start="-180" w:end="0"/>
      <w:jc w:val="center"/>
      <w:rPr>
        <w:b/>
        <w:sz w:val="24"/>
      </w:rPr>
    </w:pPr>
    <w:r>
      <w:rPr>
        <w:b/>
        <w:sz w:val="24"/>
      </w:rPr>
      <w:t>Godel Partners LLC</w:t>
    </w:r>
  </w:p>
  <w:p>
    <w:pPr>
      <w:pStyle w:val="Address2"/>
      <w:ind w:firstLine="180" w:start="-180" w:end="0"/>
      <w:jc w:val="center"/>
      <w:rPr>
        <w:sz w:val="20"/>
      </w:rPr>
    </w:pPr>
    <w:r>
      <w:rPr>
        <w:sz w:val="20"/>
      </w:rPr>
      <w:t>67 Wall Street, Suite 1901</w:t>
    </w:r>
  </w:p>
  <w:p>
    <w:pPr>
      <w:pStyle w:val="Address2"/>
      <w:ind w:firstLine="180" w:start="-180" w:end="0"/>
      <w:jc w:val="center"/>
      <w:rPr>
        <w:sz w:val="20"/>
      </w:rPr>
    </w:pPr>
    <w:r>
      <w:rPr>
        <w:sz w:val="20"/>
      </w:rPr>
      <w:t>New York, NY 10005</w:t>
    </w:r>
  </w:p>
  <w:p>
    <w:pPr>
      <w:pStyle w:val="Address1"/>
      <w:jc w:val="center"/>
      <w:rPr>
        <w:sz w:val="20"/>
      </w:rPr>
    </w:pPr>
    <w:r>
      <w:rPr>
        <w:sz w:val="20"/>
      </w:rPr>
      <w:t>Tel. 212 943 5300</w:t>
    </w:r>
  </w:p>
  <w:p>
    <w:pPr>
      <w:pStyle w:val="Address2"/>
      <w:ind w:firstLine="180" w:start="-180" w:end="0"/>
      <w:jc w:val="center"/>
      <w:rPr>
        <w:sz w:val="20"/>
      </w:rPr>
    </w:pPr>
    <w:r>
      <w:rPr>
        <w:sz w:val="20"/>
      </w:rPr>
      <w:t>mkierlanczyk@fmginy.com</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rFonts w:ascii="Arial" w:hAnsi="Arial" w:cs="Arial"/>
      <w:i/>
      <w:sz w:val="22"/>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2"/>
      </w:numPr>
      <w:tabs>
        <w:tab w:val="clear" w:pos="720"/>
      </w:tabs>
      <w:spacing w:before="0" w:after="60"/>
    </w:pPr>
    <w:rPr/>
  </w:style>
  <w:style w:type="paragraph" w:styleId="Address1">
    <w:name w:val="Address 1"/>
    <w:basedOn w:val="Normal"/>
    <w:qFormat/>
    <w:pPr>
      <w:spacing w:lineRule="atLeast" w:line="160"/>
      <w:jc w:val="both"/>
    </w:pPr>
    <w:rPr>
      <w:rFonts w:ascii="Arial" w:hAnsi="Arial" w:cs="Arial"/>
      <w:sz w:val="14"/>
    </w:rPr>
  </w:style>
  <w:style w:type="paragraph" w:styleId="Address2">
    <w:name w:val="Address 2"/>
    <w:basedOn w:val="Normal"/>
    <w:qFormat/>
    <w:pPr>
      <w:spacing w:lineRule="atLeast" w:line="160"/>
      <w:jc w:val="both"/>
    </w:pPr>
    <w:rPr>
      <w:rFonts w:ascii="Arial" w:hAnsi="Arial" w:cs="Arial"/>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b/>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rFonts w:ascii="Arial" w:hAnsi="Arial" w:cs="Arial"/>
      <w:spacing w:val="-20"/>
      <w:sz w:val="48"/>
    </w:rPr>
  </w:style>
  <w:style w:type="paragraph" w:styleId="HeaderBase">
    <w:name w:val="Header Base"/>
    <w:basedOn w:val="Normal"/>
    <w:qFormat/>
    <w:pPr>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b/>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eastAsia="zh-CN" w:bidi="hi-I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jc w:val="start"/>
    </w:pPr>
    <w:rPr>
      <w:b/>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Resume.dot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2000-10-13T17:03:00Z</dcterms:created>
  <dc:creator>MKierlanczyk</dc:creator>
  <dc:description/>
  <dc:language>en-CA</dc:language>
  <cp:lastModifiedBy>MKierlanczyk</cp:lastModifiedBy>
  <cp:lastPrinted>2001-01-10T15:09:00Z</cp:lastPrinted>
  <dcterms:modified xsi:type="dcterms:W3CDTF">2001-01-17T18:53:00Z</dcterms:modified>
  <cp:revision>19</cp:revision>
  <dc:subject/>
  <dc:title>Resume</dc:title>
</cp:coreProperties>
</file>