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480" w:after="240"/>
        <w:ind w:hanging="0" w:start="0"/>
        <w:rPr>
          <w:lang w:val="en-NZ"/>
        </w:rPr>
      </w:pPr>
      <w:r>
        <w:rPr>
          <w:lang w:val="en-NZ"/>
        </w:rPr>
        <w:t>KIERAN MURRAY</w:t>
      </w:r>
    </w:p>
    <w:p>
      <w:pPr>
        <w:pStyle w:val="Normal"/>
        <w:jc w:val="both"/>
        <w:rPr>
          <w:sz w:val="20"/>
          <w:lang w:val="en-NZ"/>
        </w:rPr>
      </w:pPr>
      <w:r>
        <w:rPr>
          <w:sz w:val="20"/>
          <w:lang w:val="en-NZ"/>
        </w:rPr>
        <w:t>LECG, Ltd</w:t>
      </w:r>
    </w:p>
    <w:p>
      <w:pPr>
        <w:pStyle w:val="Normal"/>
        <w:jc w:val="both"/>
        <w:rPr>
          <w:sz w:val="20"/>
          <w:lang w:val="en-NZ"/>
        </w:rPr>
      </w:pPr>
      <w:r>
        <w:rPr>
          <w:sz w:val="20"/>
          <w:lang w:val="en-NZ"/>
        </w:rPr>
        <w:t>Level 9, 1 Willeston Street</w:t>
      </w:r>
    </w:p>
    <w:p>
      <w:pPr>
        <w:pStyle w:val="Normal"/>
        <w:jc w:val="both"/>
        <w:rPr>
          <w:sz w:val="20"/>
          <w:lang w:val="en-NZ"/>
        </w:rPr>
      </w:pPr>
      <w:r>
        <w:rPr>
          <w:sz w:val="20"/>
          <w:lang w:val="en-NZ"/>
        </w:rPr>
        <w:t>P O Box 587</w:t>
      </w:r>
    </w:p>
    <w:p>
      <w:pPr>
        <w:pStyle w:val="Normal"/>
        <w:jc w:val="both"/>
        <w:rPr>
          <w:sz w:val="20"/>
          <w:lang w:val="en-NZ"/>
        </w:rPr>
      </w:pPr>
      <w:r>
        <w:rPr>
          <w:sz w:val="20"/>
          <w:lang w:val="en-NZ"/>
        </w:rPr>
        <w:t>Wellington</w:t>
      </w:r>
    </w:p>
    <w:p>
      <w:pPr>
        <w:pStyle w:val="Normal"/>
        <w:jc w:val="both"/>
        <w:rPr>
          <w:sz w:val="20"/>
          <w:lang w:val="en-NZ"/>
        </w:rPr>
      </w:pPr>
      <w:r>
        <w:rPr>
          <w:sz w:val="20"/>
          <w:lang w:val="en-NZ"/>
        </w:rPr>
        <w:t>New Zealand</w:t>
      </w:r>
    </w:p>
    <w:p>
      <w:pPr>
        <w:pStyle w:val="Normal"/>
        <w:jc w:val="both"/>
        <w:rPr>
          <w:sz w:val="20"/>
          <w:lang w:val="en-NZ"/>
        </w:rPr>
      </w:pPr>
      <w:r>
        <w:rPr>
          <w:sz w:val="20"/>
          <w:lang w:val="en-NZ"/>
        </w:rPr>
        <w:t>Tel. ++(64 4) 472 0590</w:t>
      </w:r>
    </w:p>
    <w:p>
      <w:pPr>
        <w:pStyle w:val="Normal"/>
        <w:jc w:val="both"/>
        <w:rPr>
          <w:sz w:val="20"/>
          <w:lang w:val="fr-FR"/>
        </w:rPr>
      </w:pPr>
      <w:r>
        <w:rPr>
          <w:sz w:val="20"/>
          <w:lang w:val="fr-FR"/>
        </w:rPr>
        <w:t>Fax ++(64 4) 472 0596</w:t>
      </w:r>
    </w:p>
    <w:p>
      <w:pPr>
        <w:pStyle w:val="Normal"/>
        <w:spacing w:before="0" w:after="240"/>
        <w:jc w:val="both"/>
        <w:rPr>
          <w:sz w:val="20"/>
          <w:lang w:val="fr-FR"/>
        </w:rPr>
      </w:pPr>
      <w:r>
        <w:rPr>
          <w:sz w:val="20"/>
          <w:lang w:val="fr-FR"/>
        </w:rPr>
        <w:t>E-Mail:</w:t>
        <w:tab/>
        <w:t>kieran_murray@lecg.com</w:t>
      </w:r>
    </w:p>
    <w:p>
      <w:pPr>
        <w:pStyle w:val="Heading2"/>
        <w:ind w:hanging="0" w:start="0"/>
        <w:jc w:val="both"/>
        <w:rPr/>
      </w:pPr>
      <w:r>
        <w:rPr/>
        <w:t>EDUCATION</w:t>
      </w:r>
    </w:p>
    <w:p>
      <w:pPr>
        <w:pStyle w:val="NormalIndent"/>
        <w:jc w:val="both"/>
        <w:rPr>
          <w:lang w:val="en-NZ"/>
        </w:rPr>
      </w:pPr>
      <w:r>
        <w:rPr>
          <w:lang w:val="en-NZ"/>
        </w:rPr>
        <w:t>MONASH UNIVERSITY (Australia), 1997, Graduate Certificate in Management</w:t>
      </w:r>
    </w:p>
    <w:p>
      <w:pPr>
        <w:pStyle w:val="NormalIndent"/>
        <w:jc w:val="both"/>
        <w:rPr>
          <w:lang w:val="en-NZ"/>
        </w:rPr>
      </w:pPr>
      <w:r>
        <w:rPr>
          <w:lang w:val="en-NZ"/>
        </w:rPr>
        <w:t>MONASH UNIVERSITY (Australia), 1997, Advanced Management Programme</w:t>
      </w:r>
    </w:p>
    <w:p>
      <w:pPr>
        <w:pStyle w:val="NormalIndent"/>
        <w:jc w:val="both"/>
        <w:rPr>
          <w:lang w:val="en-NZ"/>
        </w:rPr>
      </w:pPr>
      <w:r>
        <w:rPr>
          <w:lang w:val="en-NZ"/>
        </w:rPr>
        <w:t>OTAGO UNIVERSITY (NZ), 1985, Bachelor of Commerce</w:t>
      </w:r>
    </w:p>
    <w:p>
      <w:pPr>
        <w:pStyle w:val="NormalIndent"/>
        <w:jc w:val="both"/>
        <w:rPr>
          <w:lang w:val="en-NZ"/>
        </w:rPr>
      </w:pPr>
      <w:r>
        <w:rPr>
          <w:lang w:val="en-NZ"/>
        </w:rPr>
        <w:t>OTAGO UNIVERSITY (NZ), 1986, Post Graduate Diploma in Commerce</w:t>
      </w:r>
    </w:p>
    <w:p>
      <w:pPr>
        <w:pStyle w:val="Heading2"/>
        <w:ind w:hanging="0" w:start="0"/>
        <w:jc w:val="both"/>
        <w:rPr/>
      </w:pPr>
      <w:r>
        <w:rPr/>
        <w:t>PRESENT EMPLOYMENT</w:t>
      </w:r>
    </w:p>
    <w:p>
      <w:pPr>
        <w:pStyle w:val="NormalIndent"/>
        <w:spacing w:before="0" w:after="0"/>
        <w:ind w:start="850" w:end="0"/>
        <w:jc w:val="both"/>
        <w:rPr>
          <w:lang w:val="en-NZ"/>
        </w:rPr>
      </w:pPr>
      <w:r>
        <w:rPr>
          <w:lang w:val="en-NZ"/>
        </w:rPr>
        <w:t>LECG, Ltd. Since 1997</w:t>
      </w:r>
    </w:p>
    <w:p>
      <w:pPr>
        <w:pStyle w:val="NormalIndent"/>
        <w:spacing w:before="0" w:after="0"/>
        <w:ind w:start="850" w:end="0"/>
        <w:jc w:val="both"/>
        <w:rPr>
          <w:u w:val="single"/>
          <w:lang w:val="en-NZ"/>
        </w:rPr>
      </w:pPr>
      <w:r>
        <w:rPr>
          <w:u w:val="single"/>
          <w:lang w:val="en-NZ"/>
        </w:rPr>
        <w:t>Director</w:t>
      </w:r>
    </w:p>
    <w:p>
      <w:pPr>
        <w:pStyle w:val="NormalIndent"/>
        <w:spacing w:before="0" w:after="0"/>
        <w:jc w:val="both"/>
        <w:rPr>
          <w:u w:val="single"/>
          <w:lang w:val="en-NZ"/>
        </w:rPr>
      </w:pPr>
      <w:r>
        <w:rPr>
          <w:u w:val="single"/>
          <w:lang w:val="en-NZ"/>
        </w:rPr>
      </w:r>
    </w:p>
    <w:p>
      <w:pPr>
        <w:pStyle w:val="NormalIndent"/>
        <w:jc w:val="both"/>
        <w:rPr>
          <w:i/>
          <w:i/>
          <w:lang w:val="en-NZ"/>
        </w:rPr>
      </w:pPr>
      <w:r>
        <w:rPr>
          <w:i/>
          <w:lang w:val="en-NZ"/>
        </w:rPr>
        <w:t>Electricity market design and governance</w:t>
      </w:r>
    </w:p>
    <w:p>
      <w:pPr>
        <w:pStyle w:val="NormalIndent"/>
        <w:jc w:val="both"/>
        <w:rPr>
          <w:lang w:val="en-NZ"/>
        </w:rPr>
      </w:pPr>
      <w:r>
        <w:rPr>
          <w:lang w:val="en-NZ"/>
        </w:rPr>
        <w:t>Coordinating, and principal adviser to an industry wide review of the contractual arrangements for electricity distribution and retail activities.</w:t>
      </w:r>
    </w:p>
    <w:p>
      <w:pPr>
        <w:pStyle w:val="NormalIndent"/>
        <w:jc w:val="both"/>
        <w:rPr>
          <w:lang w:val="en-NZ"/>
        </w:rPr>
      </w:pPr>
      <w:r>
        <w:rPr>
          <w:lang w:val="en-NZ"/>
        </w:rPr>
        <w:t>Advised a Steering Group for the Chief Executives of New Zealand’s largest energy companies on how the industry might achieve the Government’s objectives for a unified market governance structure.</w:t>
      </w:r>
    </w:p>
    <w:p>
      <w:pPr>
        <w:pStyle w:val="NormalIndent"/>
        <w:jc w:val="both"/>
        <w:rPr>
          <w:i/>
          <w:i/>
          <w:lang w:val="en-NZ"/>
        </w:rPr>
      </w:pPr>
      <w:r>
        <w:rPr>
          <w:lang w:val="en-NZ"/>
        </w:rPr>
        <w:t>Prepared for the Board of New Zealand’s largest network company a pricing policy designed to maximise shareholder value by optimally allocating risks while providing certainty to its customers as to the factors that would influence price.</w:t>
      </w:r>
    </w:p>
    <w:p>
      <w:pPr>
        <w:pStyle w:val="NormalIndent"/>
        <w:jc w:val="both"/>
        <w:rPr>
          <w:lang w:val="en-NZ"/>
        </w:rPr>
      </w:pPr>
      <w:r>
        <w:rPr>
          <w:lang w:val="en-NZ"/>
        </w:rPr>
        <w:t>Principal advisor to the Ministerial Inquiry into the New Zealand electricity industry during the first phase of its work, including drafting its Issues Paper, travelling with the Panel internationally and attending public hearings.</w:t>
      </w:r>
    </w:p>
    <w:p>
      <w:pPr>
        <w:pStyle w:val="NormalIndent"/>
        <w:jc w:val="both"/>
        <w:rPr>
          <w:lang w:val="en-NZ"/>
        </w:rPr>
      </w:pPr>
      <w:r>
        <w:rPr>
          <w:lang w:val="en-NZ"/>
        </w:rPr>
        <w:t>Advised a forum of chief executives of New Zealand’s largest energy companies on the design of ancillary services markets and transmission issues.</w:t>
      </w:r>
    </w:p>
    <w:p>
      <w:pPr>
        <w:pStyle w:val="NormalIndent"/>
        <w:jc w:val="both"/>
        <w:rPr>
          <w:lang w:val="en-NZ"/>
        </w:rPr>
      </w:pPr>
      <w:r>
        <w:rPr>
          <w:lang w:val="en-NZ"/>
        </w:rPr>
        <w:t>Undertook an independent appraisal for Australia’s National Electricity Code Change Panel concerning who should pay for ancillary services.</w:t>
      </w:r>
    </w:p>
    <w:p>
      <w:pPr>
        <w:pStyle w:val="NormalIndent"/>
        <w:jc w:val="both"/>
        <w:rPr>
          <w:lang w:val="en-NZ"/>
        </w:rPr>
      </w:pPr>
      <w:r>
        <w:rPr>
          <w:lang w:val="en-NZ"/>
        </w:rPr>
        <w:t>Advised a consortium of NZ electricity companies on the development of a robust regulatory framework for lines companies consistent with New Zealand’s light-handed regulatory regime.</w:t>
      </w:r>
    </w:p>
    <w:p>
      <w:pPr>
        <w:pStyle w:val="NormalIndent"/>
        <w:jc w:val="both"/>
        <w:rPr>
          <w:lang w:val="en-NZ"/>
        </w:rPr>
      </w:pPr>
      <w:r>
        <w:rPr>
          <w:lang w:val="en-NZ"/>
        </w:rPr>
        <w:t>Project managed an electricity industry project to establish the contractual structure under which transmission customers will determine security policy, technical standards, and the quality of electricity supply from the national transmission grid.    This included advising on how the various services necessary to maintaining quality would be purchased, the costs allocated among grid users, and arrangements for setting standards governed under an open access policy.</w:t>
      </w:r>
    </w:p>
    <w:p>
      <w:pPr>
        <w:pStyle w:val="NormalIndent"/>
        <w:jc w:val="both"/>
        <w:rPr>
          <w:lang w:val="en-NZ"/>
        </w:rPr>
      </w:pPr>
      <w:r>
        <w:rPr>
          <w:lang w:val="en-NZ"/>
        </w:rPr>
        <w:t>Prepared for Ontario Hydro (Canada) a review of ancillary services markets in Australia, United Kingdom, New Zealand.</w:t>
      </w:r>
    </w:p>
    <w:p>
      <w:pPr>
        <w:pStyle w:val="NormalIndent"/>
        <w:jc w:val="both"/>
        <w:rPr>
          <w:lang w:val="en-NZ"/>
        </w:rPr>
      </w:pPr>
      <w:r>
        <w:rPr>
          <w:lang w:val="en-NZ"/>
        </w:rPr>
        <w:t>Evaluated the role of organised markets in the NZ electricity industry and the opportunities for ‘free-riding’ on the spot market price discovery process.</w:t>
      </w:r>
    </w:p>
    <w:p>
      <w:pPr>
        <w:pStyle w:val="NormalIndent"/>
        <w:jc w:val="both"/>
        <w:rPr>
          <w:lang w:val="en-NZ"/>
        </w:rPr>
      </w:pPr>
      <w:r>
        <w:rPr>
          <w:lang w:val="en-NZ"/>
        </w:rPr>
        <w:t>Evaluated for the New Zealand Government the options for a further break-up of NZ’s largest state-owned generator, ECNZ, including estimating the impact of increased competition on spot and forward prices, generator operating costs, and security of supply.</w:t>
      </w:r>
    </w:p>
    <w:p>
      <w:pPr>
        <w:pStyle w:val="NormalIndent"/>
        <w:jc w:val="both"/>
        <w:rPr>
          <w:lang w:val="en-NZ"/>
        </w:rPr>
      </w:pPr>
      <w:r>
        <w:rPr>
          <w:lang w:val="en-NZ"/>
        </w:rPr>
        <w:t>Participated in an LECG team advising Ontario Hydro on the design for a spot market, including methodologies for establishing spot prices.</w:t>
      </w:r>
    </w:p>
    <w:p>
      <w:pPr>
        <w:pStyle w:val="NormalIndent"/>
        <w:jc w:val="both"/>
        <w:rPr>
          <w:lang w:val="en-NZ"/>
        </w:rPr>
      </w:pPr>
      <w:r>
        <w:rPr>
          <w:lang w:val="en-NZ"/>
        </w:rPr>
        <w:t>Analysed the likely outcome of ongoing reform to the institutional structures which support the NZ electricity market, including assessing the implications for the market company and the transmission company.</w:t>
      </w:r>
    </w:p>
    <w:p>
      <w:pPr>
        <w:pStyle w:val="NormalIndent"/>
        <w:jc w:val="both"/>
        <w:rPr>
          <w:lang w:val="en-NZ"/>
        </w:rPr>
      </w:pPr>
      <w:r>
        <w:rPr>
          <w:lang w:val="en-NZ"/>
        </w:rPr>
        <w:t>Evaluated proposals for contracting and pricing voltage support arrangements and other ancillary services in the Auckland region.</w:t>
      </w:r>
    </w:p>
    <w:p>
      <w:pPr>
        <w:pStyle w:val="NormalIndent"/>
        <w:jc w:val="both"/>
        <w:rPr>
          <w:i/>
          <w:i/>
          <w:lang w:val="en-NZ"/>
        </w:rPr>
      </w:pPr>
      <w:r>
        <w:rPr>
          <w:i/>
          <w:lang w:val="en-NZ"/>
        </w:rPr>
        <w:t>Complex contracts</w:t>
      </w:r>
    </w:p>
    <w:p>
      <w:pPr>
        <w:pStyle w:val="NormalIndent"/>
        <w:jc w:val="both"/>
        <w:rPr>
          <w:lang w:val="en-NZ"/>
        </w:rPr>
      </w:pPr>
      <w:r>
        <w:rPr>
          <w:lang w:val="en-NZ"/>
        </w:rPr>
        <w:t>Advising an international airport on approaches to pricing for airport activities and approaches for contract negotiation with airlines companies.</w:t>
      </w:r>
    </w:p>
    <w:p>
      <w:pPr>
        <w:pStyle w:val="NormalIndent"/>
        <w:jc w:val="both"/>
        <w:rPr>
          <w:lang w:val="en-NZ"/>
        </w:rPr>
      </w:pPr>
      <w:r>
        <w:rPr>
          <w:lang w:val="en-NZ"/>
        </w:rPr>
        <w:t>Economic adviser and negotiator for a group of six water utilities negotiating a contract for the supply of bulk water with a water wholesaler in New Zealand’s largest city, Auckland. Contract scope includes the allocation of risks, determining an appropriate price structure and price levels, the valuation of assets, and estimating cost of capital.</w:t>
      </w:r>
    </w:p>
    <w:p>
      <w:pPr>
        <w:pStyle w:val="NormalIndent"/>
        <w:jc w:val="both"/>
        <w:rPr>
          <w:lang w:val="en-NZ"/>
        </w:rPr>
      </w:pPr>
      <w:r>
        <w:rPr>
          <w:lang w:val="en-NZ"/>
        </w:rPr>
        <w:t>Advised on the contractual structure and pricing mechanisms for open access fibre optic telecommunication loop.</w:t>
      </w:r>
    </w:p>
    <w:p>
      <w:pPr>
        <w:pStyle w:val="NormalIndent"/>
        <w:jc w:val="both"/>
        <w:rPr>
          <w:lang w:val="en-NZ"/>
        </w:rPr>
      </w:pPr>
      <w:r>
        <w:rPr>
          <w:lang w:val="en-NZ"/>
        </w:rPr>
        <w:t>Advised on contractual issues arising from integration of a telecommunications network company and an electricity network company.</w:t>
      </w:r>
    </w:p>
    <w:p>
      <w:pPr>
        <w:pStyle w:val="NormalIndent"/>
        <w:jc w:val="both"/>
        <w:rPr>
          <w:lang w:val="en-NZ"/>
        </w:rPr>
      </w:pPr>
      <w:r>
        <w:rPr>
          <w:lang w:val="en-NZ"/>
        </w:rPr>
        <w:t>Advised an international consortium on contractual structures underpinning a bid to purchase a national telecommunications company with a view to restructuring the business into three companies: a standalone network company providing open access under a system of capacity rights, a clearing company, and a retail company.</w:t>
      </w:r>
    </w:p>
    <w:p>
      <w:pPr>
        <w:pStyle w:val="NormalIndent"/>
        <w:jc w:val="both"/>
        <w:rPr>
          <w:lang w:val="en-NZ"/>
        </w:rPr>
      </w:pPr>
      <w:r>
        <w:rPr>
          <w:lang w:val="en-NZ"/>
        </w:rPr>
        <w:t>Advised a major generating company on terms and conditions for access to the national grid.</w:t>
      </w:r>
    </w:p>
    <w:p>
      <w:pPr>
        <w:pStyle w:val="NormalIndent"/>
        <w:jc w:val="both"/>
        <w:rPr>
          <w:lang w:val="en-NZ"/>
        </w:rPr>
      </w:pPr>
      <w:r>
        <w:rPr>
          <w:lang w:val="en-NZ"/>
        </w:rPr>
        <w:t>Advised a large distribution company on the design of contracts between a divested retail business and its lines business, and on the design of a pricing methodology for lines functions services consistent with the Electricity Industry Disclosure Regulations.</w:t>
      </w:r>
    </w:p>
    <w:p>
      <w:pPr>
        <w:pStyle w:val="NormalIndent"/>
        <w:jc w:val="both"/>
        <w:rPr>
          <w:lang w:val="en-NZ"/>
        </w:rPr>
      </w:pPr>
      <w:r>
        <w:rPr>
          <w:lang w:val="en-NZ"/>
        </w:rPr>
        <w:t>Wrote for the New Zealand Treasury a major review of the institutional arrangements for delivering social policy, including evaluating the circumstances in which the Government should own the delivery mechanisms.</w:t>
      </w:r>
    </w:p>
    <w:p>
      <w:pPr>
        <w:pStyle w:val="NormalIndent"/>
        <w:jc w:val="both"/>
        <w:rPr>
          <w:i/>
          <w:i/>
          <w:lang w:val="en-NZ"/>
        </w:rPr>
      </w:pPr>
      <w:r>
        <w:rPr>
          <w:i/>
          <w:lang w:val="en-NZ"/>
        </w:rPr>
        <w:t>Testimony</w:t>
      </w:r>
    </w:p>
    <w:p>
      <w:pPr>
        <w:pStyle w:val="NormalIndent"/>
        <w:jc w:val="both"/>
        <w:rPr>
          <w:lang w:val="en-NZ"/>
        </w:rPr>
      </w:pPr>
      <w:r>
        <w:rPr>
          <w:lang w:val="en-NZ"/>
        </w:rPr>
        <w:t>Expert witness WEL Energy vs ECNZ, testifying on the loss suffered by WEL Energy on its hedge portfolio on the break-up of ECNZ.</w:t>
      </w:r>
    </w:p>
    <w:p>
      <w:pPr>
        <w:pStyle w:val="NormalIndent"/>
        <w:jc w:val="both"/>
        <w:rPr>
          <w:lang w:val="en-NZ"/>
        </w:rPr>
      </w:pPr>
      <w:r>
        <w:rPr>
          <w:lang w:val="en-NZ"/>
        </w:rPr>
        <w:t>Provided expert testimony to the Commerce Select Committee of the NZ House of Representatives on the proposed price-control regime for lines companies.</w:t>
      </w:r>
    </w:p>
    <w:p>
      <w:pPr>
        <w:pStyle w:val="NormalIndent"/>
        <w:jc w:val="both"/>
        <w:rPr>
          <w:lang w:val="en-NZ"/>
        </w:rPr>
      </w:pPr>
      <w:r>
        <w:rPr>
          <w:lang w:val="en-NZ"/>
        </w:rPr>
        <w:t>Prepared and presented to the NZ Commerce Commission an application for authorisation of the proposed contractual arrangements governing the setting, monitoring, and enforcement of security of electricity supply over the national grid</w:t>
      </w:r>
    </w:p>
    <w:p>
      <w:pPr>
        <w:pStyle w:val="NormalIndent"/>
        <w:jc w:val="both"/>
        <w:rPr>
          <w:lang w:val="en-NZ"/>
        </w:rPr>
      </w:pPr>
      <w:r>
        <w:rPr>
          <w:lang w:val="en-NZ"/>
        </w:rPr>
        <w:t>Provided expert testimony to the NZ Commerce Commission on behalf of Meridian Energy on the application by TransAlta for Clearance to acquire Contact Energy.</w:t>
      </w:r>
    </w:p>
    <w:p>
      <w:pPr>
        <w:pStyle w:val="NormalIndent"/>
        <w:jc w:val="both"/>
        <w:rPr>
          <w:lang w:val="en-NZ"/>
        </w:rPr>
      </w:pPr>
      <w:r>
        <w:rPr>
          <w:lang w:val="en-NZ"/>
        </w:rPr>
        <w:t>Prepared and presented the economic arguments for authorisation of the Rules of the NZ Electricity Market to the NZ Commerce Commission.</w:t>
      </w:r>
    </w:p>
    <w:p>
      <w:pPr>
        <w:pStyle w:val="Heading2"/>
        <w:ind w:hanging="0" w:start="0"/>
        <w:jc w:val="both"/>
        <w:rPr/>
      </w:pPr>
      <w:r>
        <w:rPr/>
        <w:t>PROFESSIONAL EXPERIENCE</w:t>
      </w:r>
    </w:p>
    <w:p>
      <w:pPr>
        <w:pStyle w:val="NormalIndent"/>
        <w:spacing w:before="0" w:after="0"/>
        <w:jc w:val="both"/>
        <w:rPr>
          <w:lang w:val="en-NZ"/>
        </w:rPr>
      </w:pPr>
      <w:r>
        <w:rPr>
          <w:lang w:val="en-NZ"/>
        </w:rPr>
        <w:t>ELECTRICITY MARKET COMPANY, 1994-1997</w:t>
      </w:r>
    </w:p>
    <w:p>
      <w:pPr>
        <w:pStyle w:val="NormalIndent"/>
        <w:jc w:val="both"/>
        <w:rPr>
          <w:u w:val="single"/>
          <w:lang w:val="en-NZ"/>
        </w:rPr>
      </w:pPr>
      <w:r>
        <w:rPr>
          <w:u w:val="single"/>
          <w:lang w:val="en-NZ"/>
        </w:rPr>
        <w:t>Manager, Research and Development</w:t>
      </w:r>
    </w:p>
    <w:p>
      <w:pPr>
        <w:pStyle w:val="NormalIndent"/>
        <w:jc w:val="both"/>
        <w:rPr>
          <w:lang w:val="en-NZ"/>
        </w:rPr>
      </w:pPr>
      <w:r>
        <w:rPr>
          <w:lang w:val="en-NZ"/>
        </w:rPr>
        <w:t>Project-managed the design and successful implementation of the trading arrangements for NZ's wholesale electricity spot market.  This included facilitating industry working groups, preparing issues papers, reports and draft rules.</w:t>
      </w:r>
    </w:p>
    <w:p>
      <w:pPr>
        <w:pStyle w:val="NormalIndent"/>
        <w:jc w:val="both"/>
        <w:rPr>
          <w:lang w:val="en-NZ"/>
        </w:rPr>
      </w:pPr>
      <w:r>
        <w:rPr>
          <w:lang w:val="en-NZ"/>
        </w:rPr>
        <w:t>Designed and gained industry acceptance of a structure for creating and changing the rules for a spot market in electricity, including arrangements for voting and market governance.</w:t>
      </w:r>
    </w:p>
    <w:p>
      <w:pPr>
        <w:pStyle w:val="NormalIndent"/>
        <w:jc w:val="both"/>
        <w:rPr>
          <w:i/>
          <w:i/>
          <w:lang w:val="en-NZ"/>
        </w:rPr>
      </w:pPr>
      <w:r>
        <w:rPr>
          <w:lang w:val="en-NZ"/>
        </w:rPr>
        <w:t>Managed a programme of extensive communication and consultation with industry participants and government officials, including workshops, newsletters, and regular progress reports to Government Ministers.</w:t>
      </w:r>
    </w:p>
    <w:p>
      <w:pPr>
        <w:pStyle w:val="NormalIndent"/>
        <w:jc w:val="both"/>
        <w:rPr>
          <w:i/>
          <w:i/>
          <w:lang w:val="en-NZ"/>
        </w:rPr>
      </w:pPr>
      <w:r>
        <w:rPr>
          <w:lang w:val="en-NZ"/>
        </w:rPr>
        <w:t>Oversaw (as deputy CEO) the development of the Electricity Market Company from a concept funded by project money, to a profitable company providing power exchange services to the NZ electricity industry on a competitive basis.</w:t>
      </w:r>
    </w:p>
    <w:p>
      <w:pPr>
        <w:pStyle w:val="NormalIndent"/>
        <w:jc w:val="both"/>
        <w:rPr>
          <w:i/>
          <w:i/>
          <w:lang w:val="en-NZ"/>
        </w:rPr>
      </w:pPr>
      <w:r>
        <w:rPr>
          <w:lang w:val="en-NZ"/>
        </w:rPr>
        <w:t>Oversaw the design of a real-time electronic trading and information system, handling all transactions for the NZ electricity market.  This project utilised up-to-date database and intranet technology and was completed under budget within a very tight time frame.</w:t>
      </w:r>
    </w:p>
    <w:p>
      <w:pPr>
        <w:pStyle w:val="NormalIndent"/>
        <w:spacing w:before="0" w:after="0"/>
        <w:jc w:val="both"/>
        <w:rPr>
          <w:lang w:val="en-NZ"/>
        </w:rPr>
      </w:pPr>
      <w:r>
        <w:rPr>
          <w:lang w:val="en-NZ"/>
        </w:rPr>
        <w:t>NZ TREASURY, 1994</w:t>
      </w:r>
    </w:p>
    <w:p>
      <w:pPr>
        <w:pStyle w:val="NormalIndent"/>
        <w:jc w:val="both"/>
        <w:rPr>
          <w:u w:val="single"/>
          <w:lang w:val="en-NZ"/>
        </w:rPr>
      </w:pPr>
      <w:r>
        <w:rPr>
          <w:u w:val="single"/>
          <w:lang w:val="en-NZ"/>
        </w:rPr>
        <w:t>Advisor</w:t>
      </w:r>
    </w:p>
    <w:p>
      <w:pPr>
        <w:pStyle w:val="NormalIndent"/>
        <w:jc w:val="both"/>
        <w:rPr>
          <w:lang w:val="en-NZ"/>
        </w:rPr>
      </w:pPr>
      <w:r>
        <w:rPr>
          <w:lang w:val="en-NZ"/>
        </w:rPr>
        <w:t>Carried out a strategic review of welfare policy, and suggested an approach for evaluating alternative expenditure proposals during periods of sustained fiscal surpluses.</w:t>
      </w:r>
    </w:p>
    <w:p>
      <w:pPr>
        <w:pStyle w:val="NormalIndent"/>
        <w:jc w:val="both"/>
        <w:rPr>
          <w:lang w:val="en-NZ"/>
        </w:rPr>
      </w:pPr>
      <w:r>
        <w:rPr>
          <w:lang w:val="en-NZ"/>
        </w:rPr>
        <w:t>Prepared background paper for the Prime Ministerial Task on Employment concerning the Evolution of Economic and Social Policy in New Zealand.</w:t>
      </w:r>
    </w:p>
    <w:p>
      <w:pPr>
        <w:pStyle w:val="NormalIndent"/>
        <w:spacing w:before="0" w:after="0"/>
        <w:jc w:val="both"/>
        <w:rPr>
          <w:lang w:val="en-NZ"/>
        </w:rPr>
      </w:pPr>
      <w:r>
        <w:rPr>
          <w:lang w:val="en-NZ"/>
        </w:rPr>
        <w:t>PARLIAMENT, 1992-1993</w:t>
      </w:r>
    </w:p>
    <w:p>
      <w:pPr>
        <w:pStyle w:val="NormalIndent"/>
        <w:jc w:val="both"/>
        <w:rPr>
          <w:u w:val="single"/>
          <w:lang w:val="en-NZ"/>
        </w:rPr>
      </w:pPr>
      <w:r>
        <w:rPr>
          <w:u w:val="single"/>
          <w:lang w:val="en-NZ"/>
        </w:rPr>
        <w:t>Economic Advisor to Leader of the Opposition</w:t>
      </w:r>
    </w:p>
    <w:p>
      <w:pPr>
        <w:pStyle w:val="NormalIndent"/>
        <w:jc w:val="both"/>
        <w:rPr>
          <w:lang w:val="en-NZ"/>
        </w:rPr>
      </w:pPr>
      <w:r>
        <w:rPr>
          <w:lang w:val="en-NZ"/>
        </w:rPr>
        <w:t>As principal economic advisor, held a senior position in the Leader of the Opposition’s office.</w:t>
      </w:r>
    </w:p>
    <w:p>
      <w:pPr>
        <w:pStyle w:val="NormalIndent"/>
        <w:jc w:val="both"/>
        <w:rPr>
          <w:lang w:val="en-NZ"/>
        </w:rPr>
      </w:pPr>
      <w:r>
        <w:rPr>
          <w:lang w:val="en-NZ"/>
        </w:rPr>
        <w:t>Provided policy and strategic advice and undertook policy costings.  Interpreted economic statistics and monitored market trends.</w:t>
      </w:r>
    </w:p>
    <w:p>
      <w:pPr>
        <w:pStyle w:val="NormalIndent"/>
        <w:jc w:val="both"/>
        <w:rPr>
          <w:lang w:val="en-NZ"/>
        </w:rPr>
      </w:pPr>
      <w:r>
        <w:rPr>
          <w:lang w:val="en-NZ"/>
        </w:rPr>
        <w:t>Liaised and maintained good relations with senior members of Labour’s caucus, the media, market participants, and senior figures within the public and private sectors.</w:t>
      </w:r>
    </w:p>
    <w:p>
      <w:pPr>
        <w:pStyle w:val="NormalIndent"/>
        <w:spacing w:before="0" w:after="0"/>
        <w:jc w:val="both"/>
        <w:rPr>
          <w:lang w:val="en-NZ"/>
        </w:rPr>
      </w:pPr>
      <w:r>
        <w:rPr>
          <w:lang w:val="en-NZ"/>
        </w:rPr>
        <w:t>STATE SERVICES COMMISSION, 1991-1992</w:t>
      </w:r>
    </w:p>
    <w:p>
      <w:pPr>
        <w:pStyle w:val="NormalIndent"/>
        <w:jc w:val="both"/>
        <w:rPr>
          <w:u w:val="single"/>
          <w:lang w:val="en-NZ"/>
        </w:rPr>
      </w:pPr>
      <w:r>
        <w:rPr>
          <w:u w:val="single"/>
          <w:lang w:val="en-NZ"/>
        </w:rPr>
        <w:t>Economic Consultant</w:t>
      </w:r>
    </w:p>
    <w:p>
      <w:pPr>
        <w:pStyle w:val="NormalIndent"/>
        <w:jc w:val="both"/>
        <w:rPr>
          <w:lang w:val="en-NZ"/>
        </w:rPr>
      </w:pPr>
      <w:r>
        <w:rPr>
          <w:lang w:val="en-NZ"/>
        </w:rPr>
        <w:t>Contracted to assist in bringing the Government’s structural reforms to the Housing Corporation back on track.</w:t>
      </w:r>
    </w:p>
    <w:p>
      <w:pPr>
        <w:pStyle w:val="NormalIndent"/>
        <w:jc w:val="both"/>
        <w:rPr>
          <w:lang w:val="en-NZ"/>
        </w:rPr>
      </w:pPr>
      <w:r>
        <w:rPr>
          <w:lang w:val="en-NZ"/>
        </w:rPr>
        <w:t>Identified and overcame bottlenecks in the reform process and advised Government Ministers on how to resolve conflicting advice from officials.</w:t>
      </w:r>
    </w:p>
    <w:p>
      <w:pPr>
        <w:pStyle w:val="NormalIndent"/>
        <w:spacing w:before="0" w:after="0"/>
        <w:jc w:val="both"/>
        <w:rPr>
          <w:lang w:val="en-NZ"/>
        </w:rPr>
      </w:pPr>
      <w:r>
        <w:rPr>
          <w:lang w:val="en-NZ"/>
        </w:rPr>
        <w:t>PRIME MINISTERILAL TASK FORCE ON TARGETING SOCIAL ASSISTANCE, 1991</w:t>
      </w:r>
    </w:p>
    <w:p>
      <w:pPr>
        <w:pStyle w:val="NormalIndent"/>
        <w:jc w:val="both"/>
        <w:rPr>
          <w:u w:val="single"/>
          <w:lang w:val="en-NZ"/>
        </w:rPr>
      </w:pPr>
      <w:r>
        <w:rPr>
          <w:u w:val="single"/>
          <w:lang w:val="en-NZ"/>
        </w:rPr>
        <w:t>Member</w:t>
      </w:r>
    </w:p>
    <w:p>
      <w:pPr>
        <w:pStyle w:val="NormalIndent"/>
        <w:jc w:val="both"/>
        <w:rPr>
          <w:lang w:val="en-NZ"/>
        </w:rPr>
      </w:pPr>
      <w:r>
        <w:rPr>
          <w:lang w:val="en-NZ"/>
        </w:rPr>
        <w:t>Estimated the fiscal savings that could be achieved through greater targeting of social assistance and evaluated the distributional impact of such changes on the NZ population. Delivered an oral presentation of its recommendations to the Prime Minister’s Cabinet Committee.</w:t>
      </w:r>
    </w:p>
    <w:p>
      <w:pPr>
        <w:pStyle w:val="NormalIndent"/>
        <w:spacing w:before="0" w:after="0"/>
        <w:jc w:val="both"/>
        <w:rPr>
          <w:lang w:val="en-NZ"/>
        </w:rPr>
      </w:pPr>
      <w:r>
        <w:rPr>
          <w:lang w:val="en-NZ"/>
        </w:rPr>
        <w:t>PARLIAMENT, 1990</w:t>
      </w:r>
    </w:p>
    <w:p>
      <w:pPr>
        <w:pStyle w:val="NormalIndent"/>
        <w:jc w:val="both"/>
        <w:rPr>
          <w:u w:val="single"/>
          <w:lang w:val="en-NZ"/>
        </w:rPr>
      </w:pPr>
      <w:r>
        <w:rPr>
          <w:u w:val="single"/>
          <w:lang w:val="en-NZ"/>
        </w:rPr>
        <w:t>Economic Advisor to the Minister of Finance</w:t>
      </w:r>
    </w:p>
    <w:p>
      <w:pPr>
        <w:pStyle w:val="NormalIndent"/>
        <w:jc w:val="both"/>
        <w:rPr>
          <w:lang w:val="en-NZ"/>
        </w:rPr>
      </w:pPr>
      <w:r>
        <w:rPr>
          <w:lang w:val="en-NZ"/>
        </w:rPr>
        <w:t>Anticipated the development of issues within the finance portfolio and developed strategies to manage these issues both within the Government caucus and external environment.</w:t>
      </w:r>
    </w:p>
    <w:p>
      <w:pPr>
        <w:pStyle w:val="NormalIndent"/>
        <w:jc w:val="both"/>
        <w:rPr>
          <w:lang w:val="en-NZ"/>
        </w:rPr>
      </w:pPr>
      <w:r>
        <w:rPr>
          <w:lang w:val="en-NZ"/>
        </w:rPr>
        <w:t>Provided policy advice to the Minister.    Key policy programmes implemented during this period included the Reserve Bank Act, the Public Finance Act and the sale of Telecom.</w:t>
      </w:r>
    </w:p>
    <w:p>
      <w:pPr>
        <w:pStyle w:val="NormalIndent"/>
        <w:jc w:val="both"/>
        <w:rPr>
          <w:i/>
          <w:i/>
          <w:lang w:val="en-NZ"/>
        </w:rPr>
      </w:pPr>
      <w:r>
        <w:rPr>
          <w:lang w:val="en-NZ"/>
        </w:rPr>
        <w:t>Prepared reports for Cabinet and Government caucus, the media, and for general public release and drafted speeches and press releases.</w:t>
      </w:r>
    </w:p>
    <w:p>
      <w:pPr>
        <w:pStyle w:val="NormalIndent"/>
        <w:spacing w:before="0" w:after="0"/>
        <w:jc w:val="both"/>
        <w:rPr>
          <w:lang w:val="en-NZ"/>
        </w:rPr>
      </w:pPr>
      <w:r>
        <w:rPr>
          <w:lang w:val="en-NZ"/>
        </w:rPr>
        <w:t>NEW ZEALAND TREASURY DEPARTMENT, 1987-1990</w:t>
      </w:r>
    </w:p>
    <w:p>
      <w:pPr>
        <w:pStyle w:val="NormalIndent"/>
        <w:jc w:val="both"/>
        <w:rPr>
          <w:u w:val="single"/>
          <w:lang w:val="en-NZ"/>
        </w:rPr>
      </w:pPr>
      <w:r>
        <w:rPr>
          <w:u w:val="single"/>
          <w:lang w:val="en-NZ"/>
        </w:rPr>
        <w:t>Financial and Economic Analyst</w:t>
      </w:r>
    </w:p>
    <w:p>
      <w:pPr>
        <w:pStyle w:val="NormalIndent"/>
        <w:jc w:val="both"/>
        <w:rPr>
          <w:lang w:val="en-NZ"/>
        </w:rPr>
      </w:pPr>
      <w:r>
        <w:rPr>
          <w:lang w:val="en-NZ"/>
        </w:rPr>
        <w:t>Reviewed medium-term fiscal strategy and sectional adjustment issues.</w:t>
      </w:r>
    </w:p>
    <w:p>
      <w:pPr>
        <w:pStyle w:val="NormalIndent"/>
        <w:jc w:val="both"/>
        <w:rPr>
          <w:lang w:val="en-NZ"/>
        </w:rPr>
      </w:pPr>
      <w:r>
        <w:rPr>
          <w:lang w:val="en-NZ"/>
        </w:rPr>
        <w:t>Responsible for a range of tasks in the direct and indirect tax policy areas. These included responsibility for bedding in GST, and policy advice relating to personal and business tax reform at a time of significant structural change to the NZ tax system.</w:t>
      </w:r>
    </w:p>
    <w:p>
      <w:pPr>
        <w:pStyle w:val="NormalIndent"/>
        <w:jc w:val="both"/>
        <w:rPr>
          <w:lang w:val="en-NZ"/>
        </w:rPr>
      </w:pPr>
      <w:r>
        <w:rPr>
          <w:lang w:val="en-NZ"/>
        </w:rPr>
        <w:t>Prepared taxation revenue forecasts during the annual Budget cycle and estimated the cost of tax policy changes in a Budget and Tax Package context.</w:t>
      </w:r>
    </w:p>
    <w:p>
      <w:pPr>
        <w:pStyle w:val="NormalIndent"/>
        <w:jc w:val="both"/>
        <w:rPr>
          <w:lang w:val="en-NZ"/>
        </w:rPr>
      </w:pPr>
      <w:r>
        <w:rPr>
          <w:lang w:val="en-NZ"/>
        </w:rPr>
        <w:t>Investigated and monitored Inland Revenue’s annual operational budget of approximately $600 million.</w:t>
      </w:r>
    </w:p>
    <w:p>
      <w:pPr>
        <w:pStyle w:val="Heading2"/>
        <w:ind w:hanging="0" w:start="0"/>
        <w:jc w:val="both"/>
        <w:rPr/>
      </w:pPr>
      <w:r>
        <w:rPr/>
        <w:t>BUSINESS AFFILIATIONS</w:t>
      </w:r>
    </w:p>
    <w:p>
      <w:pPr>
        <w:pStyle w:val="NormalIndent"/>
        <w:jc w:val="both"/>
        <w:rPr>
          <w:lang w:val="en-NZ"/>
        </w:rPr>
      </w:pPr>
      <w:r>
        <w:rPr>
          <w:lang w:val="en-NZ"/>
        </w:rPr>
        <w:t>Member, Board of Directors, LECG Asia Pacific Ltd</w:t>
      </w:r>
    </w:p>
    <w:p>
      <w:pPr>
        <w:pStyle w:val="NormalIndent"/>
        <w:jc w:val="both"/>
        <w:rPr>
          <w:lang w:val="en-NZ"/>
        </w:rPr>
      </w:pPr>
      <w:r>
        <w:rPr>
          <w:lang w:val="en-NZ"/>
        </w:rPr>
        <w:t>Member, Appeal Board, New Zealand Electricity Market</w:t>
      </w:r>
    </w:p>
    <w:p>
      <w:pPr>
        <w:pStyle w:val="NormalIndent"/>
        <w:jc w:val="both"/>
        <w:rPr>
          <w:lang w:val="en-NZ"/>
        </w:rPr>
      </w:pPr>
      <w:r>
        <w:rPr>
          <w:lang w:val="en-NZ"/>
        </w:rPr>
        <w:t>Member, Board of Directors, Celtic Pacific Ltd</w:t>
      </w:r>
    </w:p>
    <w:p>
      <w:pPr>
        <w:pStyle w:val="NormalIndent"/>
        <w:jc w:val="both"/>
        <w:rPr>
          <w:lang w:val="en-NZ"/>
        </w:rPr>
      </w:pPr>
      <w:r>
        <w:rPr>
          <w:lang w:val="en-NZ"/>
        </w:rPr>
        <w:t>Member, Board of Directors, New Zealand Carbon Securities Ltd</w:t>
      </w:r>
    </w:p>
    <w:p>
      <w:pPr>
        <w:pStyle w:val="Heading2"/>
        <w:ind w:hanging="0" w:start="0"/>
        <w:jc w:val="both"/>
        <w:rPr/>
      </w:pPr>
      <w:r>
        <w:rPr/>
        <w:t>PUBLICATIONS AND PRESENTATIONS</w:t>
      </w:r>
    </w:p>
    <w:p>
      <w:pPr>
        <w:pStyle w:val="ListNumber"/>
        <w:numPr>
          <w:ilvl w:val="0"/>
          <w:numId w:val="2"/>
        </w:numPr>
        <w:jc w:val="both"/>
        <w:rPr>
          <w:lang w:val="en-NZ"/>
        </w:rPr>
      </w:pPr>
      <w:r>
        <w:rPr>
          <w:lang w:val="en-NZ"/>
        </w:rPr>
        <w:t>“</w:t>
      </w:r>
      <w:r>
        <w:rPr>
          <w:lang w:val="en-NZ"/>
        </w:rPr>
        <w:t>Market Governance and the Role of Government:  Some principles for good government” Electricity Industry Reform Conference, Wellington 4 July 2000.</w:t>
      </w:r>
    </w:p>
    <w:p>
      <w:pPr>
        <w:pStyle w:val="ListNumber"/>
        <w:numPr>
          <w:ilvl w:val="0"/>
          <w:numId w:val="2"/>
        </w:numPr>
        <w:jc w:val="both"/>
        <w:rPr>
          <w:lang w:val="en-NZ"/>
        </w:rPr>
      </w:pPr>
      <w:r>
        <w:rPr>
          <w:lang w:val="en-NZ"/>
        </w:rPr>
        <w:t>“</w:t>
      </w:r>
      <w:r>
        <w:rPr>
          <w:lang w:val="en-NZ"/>
        </w:rPr>
        <w:t>Energy Market Reform in New Zealand”  Energy Market Regulation Conference, Melbourne, 30 November 1999.</w:t>
      </w:r>
    </w:p>
    <w:p>
      <w:pPr>
        <w:pStyle w:val="ListNumber"/>
        <w:numPr>
          <w:ilvl w:val="0"/>
          <w:numId w:val="2"/>
        </w:numPr>
        <w:jc w:val="both"/>
        <w:rPr>
          <w:lang w:val="en-NZ"/>
        </w:rPr>
      </w:pPr>
      <w:r>
        <w:rPr>
          <w:lang w:val="en-NZ"/>
        </w:rPr>
        <w:t xml:space="preserve"> “</w:t>
      </w:r>
      <w:r>
        <w:rPr>
          <w:lang w:val="en-NZ"/>
        </w:rPr>
        <w:t>Getting the price right: is price control the answer?” National Power Conference, Wellington, October 1999.</w:t>
      </w:r>
    </w:p>
    <w:p>
      <w:pPr>
        <w:pStyle w:val="ListNumber"/>
        <w:numPr>
          <w:ilvl w:val="0"/>
          <w:numId w:val="2"/>
        </w:numPr>
        <w:jc w:val="both"/>
        <w:rPr>
          <w:lang w:val="en-NZ"/>
        </w:rPr>
      </w:pPr>
      <w:r>
        <w:rPr>
          <w:lang w:val="en-NZ"/>
        </w:rPr>
        <w:t>“</w:t>
      </w:r>
      <w:r>
        <w:rPr>
          <w:lang w:val="en-NZ"/>
        </w:rPr>
        <w:t>Natural monopoly: A problem looking for a home?”, Australian Law and Economics Association Conference, September 1999.</w:t>
      </w:r>
    </w:p>
    <w:p>
      <w:pPr>
        <w:pStyle w:val="ListNumber"/>
        <w:numPr>
          <w:ilvl w:val="0"/>
          <w:numId w:val="2"/>
        </w:numPr>
        <w:jc w:val="both"/>
        <w:rPr>
          <w:lang w:val="en-NZ"/>
        </w:rPr>
      </w:pPr>
      <w:r>
        <w:rPr>
          <w:lang w:val="en-NZ"/>
        </w:rPr>
        <w:t>“</w:t>
      </w:r>
      <w:r>
        <w:rPr>
          <w:lang w:val="en-NZ"/>
        </w:rPr>
        <w:t>New Zealand electricity market: evolution of a successful self-regulated electricity market” with Lincoln Gold, Asia Pacific Economic Cooperation (APEC), July 1999.</w:t>
      </w:r>
    </w:p>
    <w:p>
      <w:pPr>
        <w:pStyle w:val="ListNumber"/>
        <w:numPr>
          <w:ilvl w:val="0"/>
          <w:numId w:val="2"/>
        </w:numPr>
        <w:jc w:val="both"/>
        <w:rPr>
          <w:lang w:val="en-NZ"/>
        </w:rPr>
      </w:pPr>
      <w:r>
        <w:rPr>
          <w:lang w:val="en-NZ"/>
        </w:rPr>
        <w:t>“</w:t>
      </w:r>
      <w:r>
        <w:rPr>
          <w:lang w:val="en-NZ"/>
        </w:rPr>
        <w:t>What is the policy problem?” Major Electricity Users Conference, Wellington, March 1999.</w:t>
      </w:r>
    </w:p>
    <w:p>
      <w:pPr>
        <w:pStyle w:val="ListNumber"/>
        <w:numPr>
          <w:ilvl w:val="0"/>
          <w:numId w:val="2"/>
        </w:numPr>
        <w:jc w:val="both"/>
        <w:rPr>
          <w:lang w:val="en-NZ"/>
        </w:rPr>
      </w:pPr>
      <w:r>
        <w:rPr>
          <w:lang w:val="en-NZ"/>
        </w:rPr>
        <w:t>“</w:t>
      </w:r>
      <w:r>
        <w:rPr>
          <w:lang w:val="en-NZ"/>
        </w:rPr>
        <w:t>Factors driving changes in the market?”  Market Structure Workshop, March 1999.</w:t>
      </w:r>
    </w:p>
    <w:p>
      <w:pPr>
        <w:pStyle w:val="ListNumber"/>
        <w:numPr>
          <w:ilvl w:val="0"/>
          <w:numId w:val="2"/>
        </w:numPr>
        <w:jc w:val="both"/>
        <w:rPr>
          <w:lang w:val="en-NZ"/>
        </w:rPr>
      </w:pPr>
      <w:r>
        <w:rPr>
          <w:lang w:val="en-NZ"/>
        </w:rPr>
        <w:t>“</w:t>
      </w:r>
      <w:r>
        <w:rPr>
          <w:lang w:val="en-NZ"/>
        </w:rPr>
        <w:t>Financial and Physical Security in a Competitive Market” Chairman of workshop, The changing profile and future direction of the New Zealand electricity industry, Transpower Conference, Wellington, November 1998.</w:t>
      </w:r>
    </w:p>
    <w:p>
      <w:pPr>
        <w:pStyle w:val="ListNumber"/>
        <w:numPr>
          <w:ilvl w:val="0"/>
          <w:numId w:val="2"/>
        </w:numPr>
        <w:jc w:val="both"/>
        <w:rPr>
          <w:lang w:val="en-NZ"/>
        </w:rPr>
      </w:pPr>
      <w:r>
        <w:rPr>
          <w:lang w:val="en-NZ"/>
        </w:rPr>
        <w:t>“</w:t>
      </w:r>
      <w:r>
        <w:rPr>
          <w:lang w:val="en-NZ"/>
        </w:rPr>
        <w:t>Contracting for electricity supply integrity over the New Zealand national electricity network”, Energy Supply Conference, Melbourne, October 1998.</w:t>
      </w:r>
    </w:p>
    <w:p>
      <w:pPr>
        <w:pStyle w:val="ListNumber"/>
        <w:numPr>
          <w:ilvl w:val="0"/>
          <w:numId w:val="2"/>
        </w:numPr>
        <w:jc w:val="both"/>
        <w:rPr>
          <w:lang w:val="en-NZ"/>
        </w:rPr>
      </w:pPr>
      <w:r>
        <w:rPr>
          <w:lang w:val="en-NZ"/>
        </w:rPr>
        <w:t>“</w:t>
      </w:r>
      <w:r>
        <w:rPr>
          <w:lang w:val="en-NZ"/>
        </w:rPr>
        <w:t>The new grid security policy and the impact on the industry” The New Electricity Environment Conference, Wellington, 1998.</w:t>
      </w:r>
    </w:p>
    <w:p>
      <w:pPr>
        <w:pStyle w:val="ListNumber"/>
        <w:numPr>
          <w:ilvl w:val="0"/>
          <w:numId w:val="2"/>
        </w:numPr>
        <w:jc w:val="both"/>
        <w:rPr>
          <w:lang w:val="en-NZ"/>
        </w:rPr>
      </w:pPr>
      <w:r>
        <w:rPr>
          <w:lang w:val="en-NZ"/>
        </w:rPr>
        <w:t>“</w:t>
      </w:r>
      <w:r>
        <w:rPr>
          <w:lang w:val="en-NZ"/>
        </w:rPr>
        <w:t>Market design and security of supply” La Problematic Del Sector Electrico Colombiano Posibles Alternativas, Bogota, November 1997.</w:t>
      </w:r>
    </w:p>
    <w:p>
      <w:pPr>
        <w:pStyle w:val="ListNumber"/>
        <w:numPr>
          <w:ilvl w:val="0"/>
          <w:numId w:val="2"/>
        </w:numPr>
        <w:spacing w:before="0" w:after="240"/>
        <w:jc w:val="both"/>
        <w:rPr>
          <w:lang w:val="en-NZ"/>
        </w:rPr>
      </w:pPr>
      <w:r>
        <w:rPr>
          <w:lang w:val="en-NZ"/>
        </w:rPr>
        <w:t>“</w:t>
      </w:r>
      <w:r>
        <w:rPr>
          <w:lang w:val="en-NZ"/>
        </w:rPr>
        <w:t>Implications of a voluntary market”, Competition in the Electricity Industry, Transpower Conference, Wellington, 1997.</w:t>
      </w:r>
    </w:p>
    <w:sectPr>
      <w:footerReference w:type="default" r:id="rId2"/>
      <w:type w:val="nextPage"/>
      <w:pgSz w:w="11906" w:h="16838"/>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7">
              <wp:simplePos x="0" y="0"/>
              <wp:positionH relativeFrom="margin">
                <wp:align>right</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09.2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AU" w:bidi="ar-SA" w:eastAsia="zh-CN"/>
    </w:rPr>
  </w:style>
  <w:style w:type="paragraph" w:styleId="Heading1">
    <w:name w:val="heading 1"/>
    <w:basedOn w:val="Normal"/>
    <w:next w:val="Normal"/>
    <w:qFormat/>
    <w:pPr>
      <w:keepNext w:val="true"/>
      <w:numPr>
        <w:ilvl w:val="0"/>
        <w:numId w:val="1"/>
      </w:numPr>
      <w:spacing w:before="480" w:after="240"/>
      <w:jc w:val="center"/>
      <w:outlineLvl w:val="0"/>
    </w:pPr>
    <w:rPr>
      <w:b/>
      <w:kern w:val="2"/>
      <w:sz w:val="24"/>
    </w:rPr>
  </w:style>
  <w:style w:type="paragraph" w:styleId="Heading2">
    <w:name w:val="heading 2"/>
    <w:basedOn w:val="Normal"/>
    <w:next w:val="NormalIndent"/>
    <w:qFormat/>
    <w:pPr>
      <w:keepNext w:val="true"/>
      <w:numPr>
        <w:ilvl w:val="1"/>
        <w:numId w:val="1"/>
      </w:numPr>
      <w:spacing w:before="240" w:after="240"/>
      <w:outlineLvl w:val="1"/>
    </w:pPr>
    <w:rPr>
      <w:b/>
      <w:sz w:val="24"/>
      <w:lang w:val="en-NZ"/>
    </w:rPr>
  </w:style>
  <w:style w:type="paragraph" w:styleId="Heading3">
    <w:name w:val="heading 3"/>
    <w:basedOn w:val="Normal"/>
    <w:next w:val="Normal"/>
    <w:qFormat/>
    <w:pPr>
      <w:keepNext w:val="true"/>
      <w:numPr>
        <w:ilvl w:val="2"/>
        <w:numId w:val="1"/>
      </w:numPr>
      <w:spacing w:before="0" w:after="240"/>
      <w:ind w:hanging="0" w:start="851" w:end="0"/>
      <w:outlineLvl w:val="2"/>
    </w:pPr>
    <w:rPr>
      <w:sz w:val="24"/>
    </w:rPr>
  </w:style>
  <w:style w:type="paragraph" w:styleId="Heading4">
    <w:name w:val="heading 4"/>
    <w:basedOn w:val="Normal"/>
    <w:next w:val="Normal"/>
    <w:qFormat/>
    <w:pPr>
      <w:keepNext w:val="true"/>
      <w:numPr>
        <w:ilvl w:val="3"/>
        <w:numId w:val="1"/>
      </w:numPr>
      <w:spacing w:before="0" w:after="240"/>
      <w:ind w:hanging="0" w:start="851" w:end="0"/>
      <w:outlineLvl w:val="3"/>
    </w:pPr>
    <w:rPr>
      <w:sz w:val="24"/>
      <w:u w:val="single"/>
    </w:rPr>
  </w:style>
  <w:style w:type="paragraph" w:styleId="Heading6">
    <w:name w:val="heading 6"/>
    <w:basedOn w:val="Normal"/>
    <w:next w:val="Normal"/>
    <w:qFormat/>
    <w:pPr>
      <w:keepNext w:val="true"/>
      <w:numPr>
        <w:ilvl w:val="5"/>
        <w:numId w:val="1"/>
      </w:numPr>
      <w:outlineLvl w:val="5"/>
    </w:pPr>
    <w:rPr>
      <w:sz w:val="24"/>
      <w:u w:val="single"/>
      <w:lang w:val="en-GB"/>
    </w:rPr>
  </w:style>
  <w:style w:type="paragraph" w:styleId="Heading7">
    <w:name w:val="heading 7"/>
    <w:basedOn w:val="Normal"/>
    <w:next w:val="Normal"/>
    <w:qFormat/>
    <w:pPr>
      <w:keepNext w:val="true"/>
      <w:numPr>
        <w:ilvl w:val="6"/>
        <w:numId w:val="1"/>
      </w:numPr>
      <w:ind w:hanging="0" w:start="720" w:end="0"/>
      <w:outlineLvl w:val="6"/>
    </w:pPr>
    <w:rPr>
      <w:u w:val="single"/>
      <w:lang w:val="en-NZ"/>
    </w:rPr>
  </w:style>
  <w:style w:type="paragraph" w:styleId="Heading8">
    <w:name w:val="heading 8"/>
    <w:basedOn w:val="Normal"/>
    <w:next w:val="Normal"/>
    <w:qFormat/>
    <w:pPr>
      <w:keepNext w:val="true"/>
      <w:numPr>
        <w:ilvl w:val="7"/>
        <w:numId w:val="1"/>
      </w:numPr>
      <w:ind w:hanging="0" w:start="567" w:end="0"/>
      <w:outlineLvl w:val="7"/>
    </w:pPr>
    <w:rPr>
      <w:sz w:val="24"/>
      <w:u w:val="single"/>
      <w:lang w:val="en-GB"/>
    </w:rPr>
  </w:style>
  <w:style w:type="character" w:styleId="WW8Num2z0">
    <w:name w:val="WW8Num2z0"/>
    <w:qFormat/>
    <w:rPr>
      <w:rFonts w:ascii="Symbol" w:hAnsi="Symbol" w:cs="Symbol"/>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lang w:val="en-GB"/>
    </w:rPr>
  </w:style>
  <w:style w:type="paragraph" w:styleId="BodyText">
    <w:name w:val="Body Text"/>
    <w:basedOn w:val="Normal"/>
    <w:pPr>
      <w:jc w:val="both"/>
    </w:pPr>
    <w:rPr>
      <w:lang w:val="en-G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153" w:leader="none"/>
        <w:tab w:val="right" w:pos="8306" w:leader="none"/>
      </w:tabs>
    </w:pPr>
    <w:rPr>
      <w:sz w:val="24"/>
      <w:lang w:val="en-GB"/>
    </w:rPr>
  </w:style>
  <w:style w:type="paragraph" w:styleId="NormalIndent">
    <w:name w:val="Normal Indent"/>
    <w:basedOn w:val="Normal"/>
    <w:qFormat/>
    <w:pPr>
      <w:spacing w:before="0" w:after="240"/>
      <w:ind w:hanging="0" w:start="851" w:end="0"/>
    </w:pPr>
    <w:rPr/>
  </w:style>
  <w:style w:type="paragraph" w:styleId="ListNumber">
    <w:name w:val="List Number"/>
    <w:basedOn w:val="Normal"/>
    <w:qFormat/>
    <w:pPr>
      <w:numPr>
        <w:ilvl w:val="0"/>
        <w:numId w:val="2"/>
      </w:numPr>
      <w:tabs>
        <w:tab w:val="clear" w:pos="720"/>
        <w:tab w:val="left" w:pos="851" w:leader="none"/>
      </w:tabs>
      <w:spacing w:before="0" w:after="240"/>
      <w:ind w:hanging="851" w:start="851" w:end="0"/>
    </w:pPr>
    <w:rPr/>
  </w:style>
  <w:style w:type="paragraph" w:styleId="BodyTextIndent2">
    <w:name w:val="Body Text Indent 2"/>
    <w:basedOn w:val="Normal"/>
    <w:qFormat/>
    <w:pPr>
      <w:tabs>
        <w:tab w:val="clear" w:pos="720"/>
        <w:tab w:val="left" w:pos="2880" w:leader="none"/>
        <w:tab w:val="left" w:pos="3240" w:leader="none"/>
        <w:tab w:val="left" w:pos="4500" w:leader="none"/>
      </w:tabs>
      <w:ind w:hanging="0" w:start="3240" w:end="0"/>
      <w:jc w:val="both"/>
    </w:pPr>
    <w:rPr>
      <w:sz w:val="24"/>
      <w:lang w:val="en-US"/>
    </w:rPr>
  </w:style>
  <w:style w:type="paragraph" w:styleId="BodyTextIndent">
    <w:name w:val="Body Text Indent"/>
    <w:basedOn w:val="Normal"/>
    <w:pPr>
      <w:ind w:hanging="0" w:start="720" w:end="0"/>
      <w:jc w:val="both"/>
    </w:pPr>
    <w:rPr>
      <w:lang w:val="en-GB"/>
    </w:rPr>
  </w:style>
  <w:style w:type="paragraph" w:styleId="BodyTextIndent3">
    <w:name w:val="Body Text Indent 3"/>
    <w:basedOn w:val="Normal"/>
    <w:qFormat/>
    <w:pPr>
      <w:spacing w:before="0" w:after="240"/>
      <w:ind w:hanging="0" w:start="720" w:end="0"/>
    </w:pPr>
    <w:rPr>
      <w:sz w:val="24"/>
      <w:lang w:val="en-GB"/>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CV.dot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2001-01-18T03:46:00Z</dcterms:created>
  <dc:creator>Reception</dc:creator>
  <dc:description/>
  <dc:language>en-CA</dc:language>
  <cp:lastModifiedBy>LECG</cp:lastModifiedBy>
  <cp:lastPrinted>2000-06-15T13:11:00Z</cp:lastPrinted>
  <dcterms:modified xsi:type="dcterms:W3CDTF">2001-01-20T22:31:00Z</dcterms:modified>
  <cp:revision>3</cp:revision>
  <dc:subject/>
  <dc:title>NAME</dc:title>
</cp:coreProperties>
</file>