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Keyspan (Lilco) Hedge.</w:t>
      </w:r>
    </w:p>
    <w:p>
      <w:pPr>
        <w:pStyle w:val="Normal"/>
        <w:rPr/>
      </w:pPr>
      <w:r>
        <w:rPr/>
        <w:t>Commercial Contact:</w:t>
        <w:tab/>
        <w:tab/>
        <w:tab/>
        <w:tab/>
        <w:t>Chris Germany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Susan Helton</w:t>
      </w:r>
    </w:p>
    <w:p>
      <w:pPr>
        <w:pStyle w:val="Normal"/>
        <w:rPr/>
      </w:pPr>
      <w:r>
        <w:rPr/>
        <w:t xml:space="preserve">Underwriting Contact: </w:t>
        <w:tab/>
        <w:tab/>
        <w:tab/>
        <w:t>Chip Schneider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</w:t>
      </w:r>
    </w:p>
    <w:p>
      <w:pPr>
        <w:pStyle w:val="Normal"/>
        <w:rPr/>
      </w:pPr>
      <w:r>
        <w:rPr/>
        <w:t>Date of Request:</w:t>
        <w:tab/>
        <w:tab/>
        <w:tab/>
        <w:tab/>
        <w:t>03/27/02</w:t>
      </w:r>
    </w:p>
    <w:p>
      <w:pPr>
        <w:pStyle w:val="Normal"/>
        <w:rPr/>
      </w:pPr>
      <w:r>
        <w:rPr/>
        <w:t>Date of Payment:</w:t>
        <w:tab/>
        <w:tab/>
        <w:tab/>
        <w:tab/>
        <w:t>03/28/02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Traditions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Chase Bank of Texas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113000609</w:t>
      </w:r>
    </w:p>
    <w:p>
      <w:pPr>
        <w:pStyle w:val="Normal"/>
        <w:rPr/>
      </w:pPr>
      <w:r>
        <w:rPr/>
        <w:tab/>
        <w:t>Account Number:</w:t>
        <w:tab/>
        <w:tab/>
        <w:tab/>
        <w:t>00102612158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Keyspan (Lilco) Hedge</w:t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To hedge the value of the demand charge on ENA’s Sales contract with Keyspan (Lilco).  The value in this deal is in the 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MTM value of the Keyspan (Lilco) contract to ENA is estimated at $8,225,000 based on curves as of 3/28/02.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make it more difficult to prove ENA has cured the contract, which is a requirement for assumption and assignment of the contracts.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2002-04-01T17:54:00Z</dcterms:created>
  <dc:creator>cschneid</dc:creator>
  <dc:description/>
  <dc:language>en-CA</dc:language>
  <cp:lastModifiedBy>cgerman</cp:lastModifiedBy>
  <cp:lastPrinted>2002-03-13T13:23:00Z</cp:lastPrinted>
  <dcterms:modified xsi:type="dcterms:W3CDTF">2002-04-01T20:50:00Z</dcterms:modified>
  <cp:revision>3</cp:revision>
  <dc:subject/>
  <dc:title>Cash Use Approval Request</dc:title>
</cp:coreProperties>
</file>