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Excerpts from the CalPX Trading Services (CTS)</w:t>
      </w:r>
    </w:p>
    <w:p>
      <w:pPr>
        <w:pStyle w:val="Normal"/>
        <w:jc w:val="center"/>
        <w:rPr>
          <w:sz w:val="24"/>
        </w:rPr>
      </w:pPr>
      <w:r>
        <w:rPr>
          <w:sz w:val="24"/>
        </w:rPr>
        <w:t>Rate Schedule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Rate Schedule No. 1 </w:t>
      </w:r>
    </w:p>
    <w:p>
      <w:pPr>
        <w:pStyle w:val="Normal"/>
        <w:rPr>
          <w:sz w:val="24"/>
        </w:rPr>
      </w:pPr>
      <w:r>
        <w:rPr>
          <w:sz w:val="24"/>
        </w:rPr>
      </w:r>
    </w:p>
    <w:p>
      <w:pPr>
        <w:pStyle w:val="Normal"/>
        <w:rPr>
          <w:sz w:val="24"/>
        </w:rPr>
      </w:pPr>
      <w:r>
        <w:rPr>
          <w:sz w:val="24"/>
        </w:rPr>
        <w:t>Section 4.</w:t>
        <w:tab/>
        <w:t>Eligibility Requirements for Participation in CTS Market.   No one shall be eligible to participate in the CTS Market unless . . . if it is a PX Participant, it is not in default of any of its obligations to CalPX.</w:t>
      </w:r>
    </w:p>
    <w:p>
      <w:pPr>
        <w:pStyle w:val="Normal"/>
        <w:rPr>
          <w:sz w:val="24"/>
        </w:rPr>
      </w:pPr>
      <w:r>
        <w:rPr>
          <w:sz w:val="24"/>
        </w:rPr>
      </w:r>
    </w:p>
    <w:p>
      <w:pPr>
        <w:pStyle w:val="Normal"/>
        <w:rPr/>
      </w:pPr>
      <w:r>
        <w:rPr>
          <w:sz w:val="24"/>
        </w:rPr>
        <w:t xml:space="preserve">Section 5. </w:t>
        <w:tab/>
        <w:t>Creditworthiness. CTS s</w:t>
      </w:r>
      <w:r>
        <w:rPr>
          <w:i/>
          <w:sz w:val="24"/>
        </w:rPr>
        <w:t>hall</w:t>
      </w:r>
      <w:r>
        <w:rPr>
          <w:sz w:val="24"/>
        </w:rPr>
        <w:t xml:space="preserve"> require each CTS Participant to demonstrate, to the satisfaction of CTS, that it is creditworthy. . . . .</w:t>
      </w:r>
    </w:p>
    <w:p>
      <w:pPr>
        <w:pStyle w:val="Normal"/>
        <w:rPr>
          <w:sz w:val="24"/>
        </w:rPr>
      </w:pPr>
      <w:r>
        <w:rPr>
          <w:sz w:val="24"/>
        </w:rPr>
      </w:r>
    </w:p>
    <w:p>
      <w:pPr>
        <w:pStyle w:val="Normal"/>
        <w:rPr>
          <w:sz w:val="24"/>
        </w:rPr>
      </w:pPr>
      <w:r>
        <w:rPr>
          <w:sz w:val="24"/>
        </w:rPr>
        <w:t>Section 7.</w:t>
        <w:tab/>
        <w:t>Applicability. This Rate Schedule is applicable to all forward sales and purchases of Energy or other services as CTS may be authorized to offer from time to time.  This Rate Schedule is not applicable to any other service provided by CalPX, and in no way modifies, applies or interprets the CalPX’s rate schedules, contracts or regulatory filings.</w:t>
      </w:r>
    </w:p>
    <w:p>
      <w:pPr>
        <w:pStyle w:val="Normal"/>
        <w:rPr>
          <w:sz w:val="24"/>
        </w:rPr>
      </w:pPr>
      <w:r>
        <w:rPr>
          <w:sz w:val="24"/>
        </w:rPr>
      </w:r>
    </w:p>
    <w:p>
      <w:pPr>
        <w:pStyle w:val="Normal"/>
        <w:rPr>
          <w:sz w:val="24"/>
        </w:rPr>
      </w:pPr>
      <w:r>
        <w:rPr>
          <w:sz w:val="24"/>
        </w:rPr>
        <w:t>Appendix 1 to Rate Schedules – Definitions –</w:t>
      </w:r>
    </w:p>
    <w:p>
      <w:pPr>
        <w:pStyle w:val="Normal"/>
        <w:rPr>
          <w:sz w:val="24"/>
        </w:rPr>
      </w:pPr>
      <w:r>
        <w:rPr>
          <w:sz w:val="24"/>
        </w:rPr>
      </w:r>
    </w:p>
    <w:p>
      <w:pPr>
        <w:pStyle w:val="Normal"/>
        <w:rPr>
          <w:sz w:val="24"/>
        </w:rPr>
      </w:pPr>
      <w:r>
        <w:rPr>
          <w:sz w:val="24"/>
        </w:rPr>
        <w:t>“</w:t>
      </w:r>
      <w:r>
        <w:rPr>
          <w:sz w:val="24"/>
        </w:rPr>
        <w:t>Core Market” means CalPX Day-Ahead, Day-Of and Real Time Products and services.</w:t>
      </w:r>
    </w:p>
    <w:p>
      <w:pPr>
        <w:pStyle w:val="Normal"/>
        <w:rPr>
          <w:sz w:val="24"/>
        </w:rPr>
      </w:pPr>
      <w:r>
        <w:rPr>
          <w:sz w:val="24"/>
        </w:rPr>
      </w:r>
    </w:p>
    <w:p>
      <w:pPr>
        <w:pStyle w:val="Normal"/>
        <w:rPr>
          <w:sz w:val="24"/>
        </w:rPr>
      </w:pPr>
      <w:r>
        <w:rPr>
          <w:sz w:val="24"/>
        </w:rPr>
        <w:t>“</w:t>
      </w:r>
      <w:r>
        <w:rPr>
          <w:sz w:val="24"/>
        </w:rPr>
        <w:t>CalPX Tariff” means . . . .  The CalPX Tariff is in no way modified by the CTS Trading Rules.</w:t>
      </w:r>
    </w:p>
    <w:p>
      <w:pPr>
        <w:pStyle w:val="Normal"/>
        <w:rPr>
          <w:sz w:val="24"/>
        </w:rPr>
      </w:pPr>
      <w:r>
        <w:rPr>
          <w:sz w:val="24"/>
        </w:rPr>
      </w:r>
    </w:p>
    <w:p>
      <w:pPr>
        <w:pStyle w:val="Normal"/>
        <w:rPr>
          <w:sz w:val="24"/>
        </w:rPr>
      </w:pPr>
      <w:r>
        <w:rPr>
          <w:sz w:val="24"/>
        </w:rPr>
        <w:t>“</w:t>
      </w:r>
      <w:r>
        <w:rPr>
          <w:sz w:val="24"/>
        </w:rPr>
        <w:t>CTS” means CalPX Trading Services, a division of CalPX</w:t>
      </w:r>
    </w:p>
    <w:p>
      <w:pPr>
        <w:pStyle w:val="Normal"/>
        <w:rPr>
          <w:sz w:val="24"/>
        </w:rPr>
      </w:pPr>
      <w:r>
        <w:rPr>
          <w:sz w:val="24"/>
        </w:rPr>
      </w:r>
    </w:p>
    <w:p>
      <w:pPr>
        <w:pStyle w:val="Normal"/>
        <w:rPr>
          <w:sz w:val="24"/>
        </w:rPr>
      </w:pPr>
      <w:r>
        <w:rPr>
          <w:sz w:val="24"/>
        </w:rPr>
        <w:t>“</w:t>
      </w:r>
      <w:r>
        <w:rPr>
          <w:sz w:val="24"/>
        </w:rPr>
        <w:t>CTS Market” means all products and services provided by CTS.</w:t>
      </w:r>
    </w:p>
    <w:p>
      <w:pPr>
        <w:pStyle w:val="Normal"/>
        <w:rPr>
          <w:sz w:val="24"/>
        </w:rPr>
      </w:pPr>
      <w:r>
        <w:rPr>
          <w:sz w:val="24"/>
        </w:rPr>
      </w:r>
    </w:p>
    <w:p>
      <w:pPr>
        <w:pStyle w:val="Normal"/>
        <w:rPr>
          <w:sz w:val="24"/>
        </w:rPr>
      </w:pPr>
      <w:r>
        <w:rPr>
          <w:sz w:val="24"/>
        </w:rPr>
        <w:t>“</w:t>
      </w:r>
      <w:r>
        <w:rPr>
          <w:sz w:val="24"/>
        </w:rPr>
        <w:t>CTS Trading Rules” means the CTS Trading Rules attached as Appendix 3 to the Rate Schedule.</w:t>
      </w:r>
    </w:p>
    <w:p>
      <w:pPr>
        <w:pStyle w:val="Normal"/>
        <w:rPr>
          <w:sz w:val="24"/>
        </w:rPr>
      </w:pPr>
      <w:r>
        <w:rPr>
          <w:sz w:val="24"/>
        </w:rPr>
      </w:r>
    </w:p>
    <w:p>
      <w:pPr>
        <w:pStyle w:val="Normal"/>
        <w:rPr>
          <w:sz w:val="24"/>
        </w:rPr>
      </w:pPr>
      <w:r>
        <w:rPr>
          <w:sz w:val="24"/>
        </w:rPr>
        <w:t>“</w:t>
      </w:r>
      <w:r>
        <w:rPr>
          <w:sz w:val="24"/>
        </w:rPr>
        <w:t xml:space="preserve">Uncontrollable Force” means any . . . regulation or restriction imposed by governmental . . .or any other cause beyond the reasonable control of CTS or the CTS participant . . . </w:t>
      </w:r>
    </w:p>
    <w:p>
      <w:pPr>
        <w:pStyle w:val="Normal"/>
        <w:rPr>
          <w:sz w:val="24"/>
        </w:rPr>
      </w:pPr>
      <w:r>
        <w:rPr>
          <w:sz w:val="24"/>
        </w:rPr>
      </w:r>
    </w:p>
    <w:p>
      <w:pPr>
        <w:pStyle w:val="Normal"/>
        <w:rPr>
          <w:sz w:val="24"/>
        </w:rPr>
      </w:pPr>
      <w:r>
        <w:rPr>
          <w:sz w:val="24"/>
        </w:rPr>
        <w:t>Appendix 2 Product Description - describes Block forward sales and purchases</w:t>
      </w:r>
    </w:p>
    <w:p>
      <w:pPr>
        <w:pStyle w:val="Normal"/>
        <w:rPr>
          <w:sz w:val="24"/>
        </w:rPr>
      </w:pPr>
      <w:r>
        <w:rPr>
          <w:sz w:val="24"/>
        </w:rPr>
      </w:r>
    </w:p>
    <w:p>
      <w:pPr>
        <w:pStyle w:val="Normal"/>
        <w:rPr>
          <w:sz w:val="24"/>
        </w:rPr>
      </w:pPr>
      <w:r>
        <w:rPr>
          <w:sz w:val="24"/>
        </w:rPr>
        <w:t>Appendix 3 – CTS Trading Rules</w:t>
      </w:r>
    </w:p>
    <w:p>
      <w:pPr>
        <w:pStyle w:val="Normal"/>
        <w:rPr>
          <w:sz w:val="24"/>
        </w:rPr>
      </w:pPr>
      <w:r>
        <w:rPr>
          <w:sz w:val="24"/>
        </w:rPr>
      </w:r>
    </w:p>
    <w:p>
      <w:pPr>
        <w:pStyle w:val="Normal"/>
        <w:rPr>
          <w:sz w:val="24"/>
        </w:rPr>
      </w:pPr>
      <w:r>
        <w:rPr>
          <w:sz w:val="24"/>
        </w:rPr>
        <w:t>Section 2.</w:t>
        <w:tab/>
        <w:t>Terms and Conditions.  All transactions in the CTS Market shall be conducted in accordance with the Rate Schedule and these CTS Trading Rules.  In the event of a conflict between the terms and conditions of these CTS Trading Rules and any other terms and conditions set forth in the Rate Schedule (not including the other appendices thereof), the terms and conditions of the Rates Schedule shall apply.  In addition, CTS shall prepare and provide to all CTS Participants an Information Guide, which shall provide operational guidelines and practices and creditworthiness requirements for implementing the Rate Schedule and its appendices.</w:t>
      </w:r>
    </w:p>
    <w:p>
      <w:pPr>
        <w:pStyle w:val="Normal"/>
        <w:rPr>
          <w:sz w:val="24"/>
        </w:rPr>
      </w:pPr>
      <w:r>
        <w:rPr>
          <w:sz w:val="24"/>
        </w:rPr>
      </w:r>
    </w:p>
    <w:p>
      <w:pPr>
        <w:pStyle w:val="Normal"/>
        <w:rPr>
          <w:sz w:val="24"/>
        </w:rPr>
      </w:pPr>
      <w:r>
        <w:rPr>
          <w:sz w:val="24"/>
        </w:rPr>
        <w:t>Section 5.</w:t>
        <w:tab/>
        <w:t>[C]TS may suspend or terminate a CTS Participant’s Participation Agreement . . . without prior notice, may require the CTS Participant to post additional collateral security and/or may prohibit the CTS Participant from entering new Order or registering new bilateral transactions, if such CTS Participant fails to satisfy any other requirements of Section 4 above.</w:t>
      </w:r>
    </w:p>
    <w:p>
      <w:pPr>
        <w:pStyle w:val="Normal"/>
        <w:rPr>
          <w:sz w:val="24"/>
        </w:rPr>
      </w:pPr>
      <w:r>
        <w:rPr>
          <w:sz w:val="24"/>
        </w:rPr>
      </w:r>
    </w:p>
    <w:p>
      <w:pPr>
        <w:pStyle w:val="Normal"/>
        <w:rPr>
          <w:sz w:val="24"/>
        </w:rPr>
      </w:pPr>
      <w:r>
        <w:rPr>
          <w:sz w:val="24"/>
        </w:rPr>
        <w:t xml:space="preserve">Section 6.7.2 </w:t>
        <w:tab/>
        <w:t>Payment Procedures</w:t>
      </w:r>
    </w:p>
    <w:p>
      <w:pPr>
        <w:pStyle w:val="Normal"/>
        <w:rPr>
          <w:sz w:val="24"/>
        </w:rPr>
      </w:pPr>
      <w:r>
        <w:rPr>
          <w:sz w:val="24"/>
        </w:rPr>
      </w:r>
    </w:p>
    <w:p>
      <w:pPr>
        <w:pStyle w:val="Normal"/>
        <w:rPr>
          <w:sz w:val="24"/>
        </w:rPr>
      </w:pPr>
      <w:r>
        <w:rPr>
          <w:sz w:val="24"/>
        </w:rPr>
        <w:t>(b) No CTS Participant shall have any beneficial or other rights to any funds in any CTS accounts except in accordance with these CTS Trading Rules.</w:t>
      </w:r>
    </w:p>
    <w:p>
      <w:pPr>
        <w:pStyle w:val="Normal"/>
        <w:rPr>
          <w:sz w:val="24"/>
        </w:rPr>
      </w:pPr>
      <w:r>
        <w:rPr>
          <w:sz w:val="24"/>
        </w:rPr>
      </w:r>
    </w:p>
    <w:p>
      <w:pPr>
        <w:pStyle w:val="Normal"/>
        <w:rPr>
          <w:sz w:val="24"/>
        </w:rPr>
      </w:pPr>
      <w:r>
        <w:rPr>
          <w:sz w:val="24"/>
        </w:rPr>
        <w:t xml:space="preserve">Section 6.7.7 </w:t>
        <w:tab/>
        <w:t xml:space="preserve">Payment Defaults.  If the CalPX ascertains that all or any part of any amount due to be remitted by a CTS Participant to the CTS Clearing Account has not been remitted, the CalPX will take the necessary action to the extent immediately available with reasonable commercial efforts, to mitigate loss which includes, but is not limited to, drawing on the defaulting CTS Participant’s collateral and liquidating its portfolio.  </w:t>
      </w:r>
      <w:r>
        <w:rPr>
          <w:i/>
          <w:sz w:val="24"/>
        </w:rPr>
        <w:t>A default in the CTS Market will be deemed to be a default in the Core Market and vice versa.</w:t>
      </w:r>
    </w:p>
    <w:p>
      <w:pPr>
        <w:pStyle w:val="Normal"/>
        <w:rPr>
          <w:sz w:val="24"/>
        </w:rPr>
      </w:pPr>
      <w:r>
        <w:rPr>
          <w:sz w:val="24"/>
        </w:rPr>
      </w:r>
    </w:p>
    <w:p>
      <w:pPr>
        <w:pStyle w:val="Normal"/>
        <w:numPr>
          <w:ilvl w:val="0"/>
          <w:numId w:val="1"/>
        </w:numPr>
        <w:rPr>
          <w:sz w:val="24"/>
        </w:rPr>
      </w:pPr>
      <w:r>
        <w:rPr>
          <w:sz w:val="24"/>
        </w:rPr>
        <w:t>Uncontrollable Forces</w:t>
      </w:r>
    </w:p>
    <w:p>
      <w:pPr>
        <w:pStyle w:val="Normal"/>
        <w:rPr>
          <w:sz w:val="24"/>
        </w:rPr>
      </w:pPr>
      <w:r>
        <w:rPr>
          <w:sz w:val="24"/>
        </w:rPr>
      </w:r>
    </w:p>
    <w:p>
      <w:pPr>
        <w:pStyle w:val="Normal"/>
        <w:rPr/>
      </w:pPr>
      <w:r>
        <w:rPr>
          <w:sz w:val="24"/>
        </w:rPr>
        <w:t>11.1</w:t>
        <w:tab/>
        <w:t>Consequences of Uncontrollable Forces.</w:t>
        <w:tab/>
        <w:t xml:space="preserve">CTS and/or any CTS Participant may be excused </w:t>
      </w:r>
      <w:r>
        <w:rPr>
          <w:i/>
          <w:sz w:val="24"/>
        </w:rPr>
        <w:t>from its non-monetary obligations</w:t>
      </w:r>
      <w:r>
        <w:rPr>
          <w:sz w:val="24"/>
        </w:rPr>
        <w:t xml:space="preserve"> under CTS Trading Rues and the applicable CTS Participation Agreement  . . .  to the extent it is unable to fulfill such obligations because of an Uncontrollable Force; provided however, that Uncontrollable Forces shall not excuse CTS or any CTS Participant from fulfilling any monetary obligation under these CTS Trading Rules and the applicable CTS Participation Agreement.</w:t>
      </w:r>
    </w:p>
    <w:p>
      <w:pPr>
        <w:pStyle w:val="Normal"/>
        <w:rPr>
          <w:sz w:val="24"/>
        </w:rPr>
      </w:pPr>
      <w:r>
        <w:rPr>
          <w:sz w:val="24"/>
        </w:rPr>
      </w:r>
    </w:p>
    <w:p>
      <w:pPr>
        <w:pStyle w:val="Normal"/>
        <w:rPr>
          <w:sz w:val="24"/>
        </w:rPr>
      </w:pPr>
      <w:r>
        <w:rPr>
          <w:sz w:val="24"/>
        </w:rPr>
        <w:t>Exhibit A to CTS Trading Rules – Secondary Dispute Resolution Procedures – for all disputes between parties which arise under CTS Documents</w:t>
      </w:r>
    </w:p>
    <w:p>
      <w:pPr>
        <w:pStyle w:val="Normal"/>
        <w:rPr>
          <w:sz w:val="24"/>
        </w:rPr>
      </w:pPr>
      <w:r>
        <w:rPr>
          <w:sz w:val="24"/>
        </w:rPr>
      </w:r>
    </w:p>
    <w:p>
      <w:pPr>
        <w:pStyle w:val="Normal"/>
        <w:rPr>
          <w:sz w:val="24"/>
        </w:rPr>
      </w:pPr>
      <w:r>
        <w:rPr>
          <w:sz w:val="24"/>
        </w:rPr>
        <w:t>Appendix 4 – Form of CTS Participation Agreement</w:t>
      </w:r>
    </w:p>
    <w:p>
      <w:pPr>
        <w:pStyle w:val="Normal"/>
        <w:rPr>
          <w:sz w:val="24"/>
        </w:rPr>
      </w:pPr>
      <w:r>
        <w:rPr>
          <w:sz w:val="24"/>
        </w:rPr>
      </w:r>
    </w:p>
    <w:p>
      <w:pPr>
        <w:pStyle w:val="Normal"/>
        <w:rPr>
          <w:sz w:val="24"/>
        </w:rPr>
      </w:pPr>
      <w:r>
        <w:rPr>
          <w:sz w:val="24"/>
        </w:rPr>
        <w:t>Section 3.</w:t>
        <w:tab/>
        <w:t xml:space="preserve">Representations, Warranties and Covenants of the CTS Participant </w:t>
      </w:r>
    </w:p>
    <w:p>
      <w:pPr>
        <w:pStyle w:val="Normal"/>
        <w:rPr>
          <w:sz w:val="24"/>
        </w:rPr>
      </w:pPr>
      <w:r>
        <w:rPr>
          <w:sz w:val="24"/>
        </w:rPr>
      </w:r>
    </w:p>
    <w:p>
      <w:pPr>
        <w:pStyle w:val="Normal"/>
        <w:rPr>
          <w:sz w:val="24"/>
        </w:rPr>
      </w:pPr>
      <w:r>
        <w:rPr>
          <w:sz w:val="24"/>
        </w:rPr>
        <w:t>Section 3.1.</w:t>
        <w:tab/>
        <w:t xml:space="preserve">Basic Representations and Warranties.   The CTS Participant hereby represents and warrants as of the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2001-02-05T02:03:00Z</dcterms:created>
  <dc:creator>mhain</dc:creator>
  <dc:description/>
  <dc:language>en-CA</dc:language>
  <cp:lastModifiedBy>mhain</cp:lastModifiedBy>
  <dcterms:modified xsi:type="dcterms:W3CDTF">2001-02-05T02:53:00Z</dcterms:modified>
  <cp:revision>3</cp:revision>
  <dc:subject/>
  <dc:title>Key provisions of the CalPX Trading Services (CTS)</dc:title>
</cp:coreProperties>
</file>