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 xml:space="preserve">Opposition to Federalizing the Electric Industry </w:t>
      </w:r>
    </w:p>
    <w:p>
      <w:pPr>
        <w:pStyle w:val="Normal"/>
        <w:rPr>
          <w:b/>
          <w:sz w:val="24"/>
        </w:rPr>
      </w:pPr>
      <w:r>
        <w:rPr>
          <w:b/>
          <w:sz w:val="24"/>
        </w:rPr>
      </w:r>
    </w:p>
    <w:p>
      <w:pPr>
        <w:pStyle w:val="Normal"/>
        <w:numPr>
          <w:ilvl w:val="0"/>
          <w:numId w:val="4"/>
        </w:numPr>
        <w:ind w:hanging="540" w:start="540" w:end="0"/>
        <w:rPr>
          <w:sz w:val="24"/>
        </w:rPr>
      </w:pPr>
      <w:r>
        <w:rPr>
          <w:b/>
          <w:sz w:val="24"/>
        </w:rPr>
        <w:t>Markets,  Not Regulation,  Should be Allowed to Work</w:t>
      </w:r>
    </w:p>
    <w:p>
      <w:pPr>
        <w:pStyle w:val="Normal"/>
        <w:ind w:start="540" w:end="0"/>
        <w:rPr>
          <w:sz w:val="24"/>
        </w:rPr>
      </w:pPr>
      <w:r>
        <w:rPr>
          <w:sz w:val="24"/>
        </w:rPr>
      </w:r>
    </w:p>
    <w:p>
      <w:pPr>
        <w:pStyle w:val="Normal"/>
        <w:ind w:start="540" w:end="0"/>
        <w:rPr>
          <w:sz w:val="24"/>
        </w:rPr>
      </w:pPr>
      <w:r>
        <w:rPr>
          <w:sz w:val="24"/>
        </w:rPr>
        <w:t xml:space="preserve">Electricity markets - both wholesale and retail - are becoming increasingly competitive.  Markets should be allowed to evolve without increased federal interference and regulation.  Proposals that give FERC more authority to determine market structure, for example, through mandatory Regional Transmission Organizations (RTOs) or that shift jurisdiction over all electric transmission facilities to the five members of the FERC (the so-called Moler Amendment) do not solve real problems that proponents of federalization have pointed to:  </w:t>
      </w:r>
    </w:p>
    <w:p>
      <w:pPr>
        <w:pStyle w:val="Normal"/>
        <w:ind w:start="540" w:end="0"/>
        <w:rPr>
          <w:sz w:val="24"/>
        </w:rPr>
      </w:pPr>
      <w:r>
        <w:rPr>
          <w:sz w:val="24"/>
        </w:rPr>
      </w:r>
    </w:p>
    <w:p>
      <w:pPr>
        <w:pStyle w:val="Normal"/>
        <w:numPr>
          <w:ilvl w:val="0"/>
          <w:numId w:val="6"/>
        </w:numPr>
        <w:tabs>
          <w:tab w:val="clear" w:pos="720"/>
          <w:tab w:val="left" w:pos="900" w:leader="none"/>
        </w:tabs>
        <w:ind w:hanging="360" w:start="900" w:end="0"/>
        <w:rPr>
          <w:sz w:val="24"/>
        </w:rPr>
      </w:pPr>
      <w:r>
        <w:rPr>
          <w:sz w:val="24"/>
        </w:rPr>
        <w:t xml:space="preserve">First, investor owned utilities are already developing voluntary RTOs across the country and will continue to do so; </w:t>
      </w:r>
    </w:p>
    <w:p>
      <w:pPr>
        <w:pStyle w:val="Normal"/>
        <w:ind w:start="540" w:end="0"/>
        <w:rPr>
          <w:sz w:val="24"/>
        </w:rPr>
      </w:pPr>
      <w:r>
        <w:rPr>
          <w:sz w:val="24"/>
        </w:rPr>
      </w:r>
    </w:p>
    <w:p>
      <w:pPr>
        <w:pStyle w:val="Normal"/>
        <w:numPr>
          <w:ilvl w:val="0"/>
          <w:numId w:val="6"/>
        </w:numPr>
        <w:tabs>
          <w:tab w:val="clear" w:pos="720"/>
          <w:tab w:val="left" w:pos="900" w:leader="none"/>
        </w:tabs>
        <w:ind w:hanging="360" w:start="900" w:end="0"/>
        <w:rPr>
          <w:sz w:val="24"/>
        </w:rPr>
      </w:pPr>
      <w:r>
        <w:rPr>
          <w:sz w:val="24"/>
        </w:rPr>
        <w:t>Second, there is no basis, in law or fact, for the assertion that without more FERC authority utilities cannot commit their transmission systems to an RTO.  In fact, over thirty utilities have already done just that;</w:t>
      </w:r>
    </w:p>
    <w:p>
      <w:pPr>
        <w:pStyle w:val="Normal"/>
        <w:rPr>
          <w:sz w:val="24"/>
        </w:rPr>
      </w:pPr>
      <w:r>
        <w:rPr>
          <w:sz w:val="24"/>
        </w:rPr>
      </w:r>
    </w:p>
    <w:p>
      <w:pPr>
        <w:pStyle w:val="Normal"/>
        <w:numPr>
          <w:ilvl w:val="0"/>
          <w:numId w:val="6"/>
        </w:numPr>
        <w:tabs>
          <w:tab w:val="clear" w:pos="720"/>
          <w:tab w:val="left" w:pos="900" w:leader="none"/>
        </w:tabs>
        <w:ind w:hanging="360" w:start="900" w:end="0"/>
        <w:rPr>
          <w:sz w:val="24"/>
        </w:rPr>
      </w:pPr>
      <w:r>
        <w:rPr>
          <w:sz w:val="24"/>
        </w:rPr>
        <w:t xml:space="preserve">Third, dual, yet separate, state and federal rate making jurisdiction over </w:t>
      </w:r>
      <w:r>
        <w:rPr>
          <w:sz w:val="24"/>
          <w:u w:val="single"/>
        </w:rPr>
        <w:t>different</w:t>
      </w:r>
      <w:r>
        <w:rPr>
          <w:sz w:val="24"/>
        </w:rPr>
        <w:t xml:space="preserve"> uses of transmission lines has never been identified as the basis for reliability problems.   If anything, as proponents of the Moler amendment acknowledge by explicitly grandfathering current state transmission rates, state policymakers have done a better job than federal regulators in promoting the growth of the transmission system through higher rates of return and incentive regulation;</w:t>
      </w:r>
    </w:p>
    <w:p>
      <w:pPr>
        <w:pStyle w:val="Normal"/>
        <w:rPr>
          <w:sz w:val="24"/>
        </w:rPr>
      </w:pPr>
      <w:r>
        <w:rPr>
          <w:sz w:val="24"/>
        </w:rPr>
      </w:r>
    </w:p>
    <w:p>
      <w:pPr>
        <w:pStyle w:val="Normal"/>
        <w:numPr>
          <w:ilvl w:val="0"/>
          <w:numId w:val="6"/>
        </w:numPr>
        <w:tabs>
          <w:tab w:val="clear" w:pos="720"/>
          <w:tab w:val="left" w:pos="900" w:leader="none"/>
        </w:tabs>
        <w:ind w:hanging="360" w:start="900" w:end="0"/>
        <w:rPr>
          <w:sz w:val="24"/>
        </w:rPr>
      </w:pPr>
      <w:r>
        <w:rPr>
          <w:sz w:val="24"/>
        </w:rPr>
        <w:t xml:space="preserve">Fourth, proving that state quilts are more useful than federal blankets, the current "patchwork" transmission system works precisely as it should.  Dual state and federal control permits low-cost states to continue to provide complete electric service (generation, delivery and local services), while it permits high-cost states to cede voluntarily control over the delivery function to FERC when the time is right in that particular state.  Those dissatisfied with the apparent Congressional decision not to mandate a time certain for state retail access now wish to impose another sweeping federal mandate by requiring states to give up any authority whatsoever over the delivery of electricity within months of passage of a new bill.        </w:t>
      </w:r>
    </w:p>
    <w:p>
      <w:pPr>
        <w:pStyle w:val="Normal"/>
        <w:ind w:start="540" w:end="0"/>
        <w:rPr>
          <w:sz w:val="24"/>
        </w:rPr>
      </w:pPr>
      <w:r>
        <w:rPr>
          <w:sz w:val="24"/>
        </w:rPr>
      </w:r>
    </w:p>
    <w:p>
      <w:pPr>
        <w:pStyle w:val="Normal"/>
        <w:numPr>
          <w:ilvl w:val="0"/>
          <w:numId w:val="3"/>
        </w:numPr>
        <w:ind w:hanging="540" w:start="540" w:end="0"/>
        <w:rPr>
          <w:sz w:val="24"/>
        </w:rPr>
      </w:pPr>
      <w:r>
        <w:rPr>
          <w:b/>
          <w:sz w:val="24"/>
        </w:rPr>
        <w:t>FERC and the States Focus Should be on Expanding the Grid, Not on Allocating Continually Decreasing Capacity Margins</w:t>
      </w:r>
    </w:p>
    <w:p>
      <w:pPr>
        <w:pStyle w:val="Normal"/>
        <w:rPr>
          <w:sz w:val="24"/>
        </w:rPr>
      </w:pPr>
      <w:r>
        <w:rPr>
          <w:sz w:val="24"/>
        </w:rPr>
      </w:r>
    </w:p>
    <w:p>
      <w:pPr>
        <w:pStyle w:val="Normal"/>
        <w:ind w:start="540" w:end="0"/>
        <w:rPr/>
      </w:pPr>
      <w:r>
        <w:rPr>
          <w:sz w:val="24"/>
        </w:rPr>
        <w:t xml:space="preserve">The goal of any legislation should be to ensure that there are proper incentives - and a lack of disincentives - to expansion of the grid.  Such expansion is absolutely critical to both vibrantly competitive electric markets and future reliability.  The focus should </w:t>
      </w:r>
      <w:r>
        <w:rPr>
          <w:sz w:val="24"/>
          <w:u w:val="single"/>
        </w:rPr>
        <w:t>not</w:t>
      </w:r>
      <w:r>
        <w:rPr>
          <w:sz w:val="24"/>
        </w:rPr>
        <w:t xml:space="preserve"> be on whom has authority to divide up the pie - we need to focus on expanding the size of the pie.  Both the current House bill, H.R. 2944, and the Senate bill, S. 2098, take the best approach to solving the problems that exist with the Nation's transmission system by creating market incentives for transmission construction and streamlining the transmission siting system. </w:t>
      </w:r>
    </w:p>
    <w:p>
      <w:pPr>
        <w:pStyle w:val="Normal"/>
        <w:ind w:start="540" w:end="0"/>
        <w:rPr>
          <w:sz w:val="24"/>
        </w:rPr>
      </w:pPr>
      <w:r>
        <w:rPr>
          <w:sz w:val="24"/>
        </w:rPr>
      </w:r>
    </w:p>
    <w:p>
      <w:pPr>
        <w:pStyle w:val="Normal"/>
        <w:numPr>
          <w:ilvl w:val="0"/>
          <w:numId w:val="2"/>
        </w:numPr>
        <w:ind w:hanging="540" w:start="540" w:end="0"/>
        <w:rPr>
          <w:sz w:val="24"/>
        </w:rPr>
      </w:pPr>
      <w:r>
        <w:rPr>
          <w:b/>
          <w:sz w:val="24"/>
        </w:rPr>
        <w:t>The Ability of Low-Cost States to Protect Native Load Should Not be Eroded</w:t>
      </w:r>
    </w:p>
    <w:p>
      <w:pPr>
        <w:pStyle w:val="Normal"/>
        <w:rPr>
          <w:sz w:val="24"/>
        </w:rPr>
      </w:pPr>
      <w:r>
        <w:rPr>
          <w:sz w:val="24"/>
        </w:rPr>
      </w:r>
    </w:p>
    <w:p>
      <w:pPr>
        <w:pStyle w:val="Normal"/>
        <w:ind w:start="540" w:end="0"/>
        <w:rPr/>
      </w:pPr>
      <w:r>
        <w:rPr>
          <w:sz w:val="24"/>
        </w:rPr>
        <w:t>Under current law, states have the authority to regulate all aspects of retail sales.  Proposals that would require all states - whether they have chosen retail competition or not - to unbundle rates and give up authority over the transmission component of retail sales to FERC should be rejected.   In large part, proponents of  federalization are improperly equating "bundled retail service" and "unbundled service."  The two types of service are not “comparable” and should not be treated the same.  Unbundled customers are allowed under FERC’s tariff to take service for very short time periods (as little as one hour), while a utility has an ongoing obligation to serve bundled retail customers.  The cost responsibility of the various customer types is also vastly different.  Unbundled customers have cost responsibility only for the time period that they contract for service.  Conversely, the cost of transmission facilities goes into a utility’s ratebase and is borne by bundled retail customers until completely depreciated.  The effect of curtailment is also much more pronounced on bundled retail customers than unbundled wholesale customers. When bundled retail service is curtailed, customers are without electric service.  In contrast, an unbundled customer typically has other options available, and the curtailment decision is simply a matter of cost.</w:t>
      </w:r>
    </w:p>
    <w:p>
      <w:pPr>
        <w:pStyle w:val="Normal"/>
        <w:ind w:firstLine="720" w:end="0"/>
        <w:rPr>
          <w:sz w:val="24"/>
        </w:rPr>
      </w:pPr>
      <w:r>
        <w:rPr>
          <w:sz w:val="24"/>
        </w:rPr>
      </w:r>
    </w:p>
    <w:p>
      <w:pPr>
        <w:pStyle w:val="Normal"/>
        <w:ind w:start="540" w:end="0"/>
        <w:rPr>
          <w:sz w:val="24"/>
        </w:rPr>
      </w:pPr>
      <w:r>
        <w:rPr>
          <w:sz w:val="24"/>
        </w:rPr>
        <w:t>In sum, bundled retail service and unbundled transmission service are two vastly different products and should not be treated the same.  Low-cost states that have not gone to retail access should not be required to give up authority to protect the reliability and costs of service of consumers within the state.</w:t>
      </w:r>
    </w:p>
    <w:p>
      <w:pPr>
        <w:pStyle w:val="Normal"/>
        <w:ind w:start="540" w:end="0"/>
        <w:rPr>
          <w:sz w:val="24"/>
        </w:rPr>
      </w:pPr>
      <w:r>
        <w:rPr>
          <w:sz w:val="24"/>
        </w:rPr>
      </w:r>
    </w:p>
    <w:p>
      <w:pPr>
        <w:pStyle w:val="Normal"/>
        <w:ind w:start="540" w:end="0"/>
        <w:rPr>
          <w:sz w:val="24"/>
        </w:rPr>
      </w:pPr>
      <w:r>
        <w:rPr>
          <w:sz w:val="24"/>
        </w:rPr>
        <w:t>In addition, states currently have sufficient authority to deal with any market power concerns that may arise.  Giving FERC authority to mandate divestiture would have the effect of states losing control over the regulation of generation within the state.  Again, higher costs could result.</w:t>
      </w:r>
    </w:p>
    <w:p>
      <w:pPr>
        <w:pStyle w:val="Normal"/>
        <w:ind w:start="540" w:end="0"/>
        <w:rPr>
          <w:sz w:val="24"/>
        </w:rPr>
      </w:pPr>
      <w:r>
        <w:rPr>
          <w:sz w:val="24"/>
        </w:rPr>
      </w:r>
    </w:p>
    <w:p>
      <w:pPr>
        <w:pStyle w:val="Normal"/>
        <w:numPr>
          <w:ilvl w:val="0"/>
          <w:numId w:val="5"/>
        </w:numPr>
        <w:ind w:hanging="450" w:start="540" w:end="0"/>
        <w:rPr>
          <w:sz w:val="24"/>
        </w:rPr>
      </w:pPr>
      <w:r>
        <w:rPr>
          <w:b/>
          <w:sz w:val="24"/>
        </w:rPr>
        <w:t>All Utilities Should Provide Open Access Transmission Subject to the Same Regulation</w:t>
      </w:r>
    </w:p>
    <w:p>
      <w:pPr>
        <w:pStyle w:val="Normal"/>
        <w:rPr>
          <w:sz w:val="24"/>
        </w:rPr>
      </w:pPr>
      <w:r>
        <w:rPr>
          <w:sz w:val="24"/>
        </w:rPr>
      </w:r>
    </w:p>
    <w:p>
      <w:pPr>
        <w:pStyle w:val="Normal"/>
        <w:ind w:start="540" w:end="0"/>
        <w:rPr>
          <w:sz w:val="24"/>
        </w:rPr>
      </w:pPr>
      <w:r>
        <w:rPr>
          <w:sz w:val="24"/>
        </w:rPr>
        <w:t>About 30% of the nation's transmission systems are owned by entities not subject to FERC's open access rules.  These utilities, including federal, state, local and cooperative utilities that operate bulk power transmission facilities, should provide the same level of access, under the same rules, as all other owners of transmission.</w:t>
      </w:r>
      <w:r>
        <w:br w:type="page"/>
      </w:r>
    </w:p>
    <w:p>
      <w:pPr>
        <w:pStyle w:val="Normal"/>
        <w:numPr>
          <w:ilvl w:val="0"/>
          <w:numId w:val="1"/>
        </w:numPr>
        <w:ind w:hanging="450" w:start="450" w:end="0"/>
        <w:rPr>
          <w:sz w:val="24"/>
        </w:rPr>
      </w:pPr>
      <w:r>
        <w:rPr>
          <w:b/>
          <w:sz w:val="24"/>
        </w:rPr>
        <w:t>States Should Continue to Determine What Generation is Built and How it is Interconnected to the Grid</w:t>
      </w:r>
    </w:p>
    <w:p>
      <w:pPr>
        <w:pStyle w:val="Normal"/>
        <w:rPr>
          <w:sz w:val="24"/>
        </w:rPr>
      </w:pPr>
      <w:r>
        <w:rPr>
          <w:sz w:val="24"/>
        </w:rPr>
      </w:r>
    </w:p>
    <w:p>
      <w:pPr>
        <w:pStyle w:val="Normal"/>
        <w:ind w:start="540" w:end="0"/>
        <w:rPr/>
      </w:pPr>
      <w:r>
        <w:rPr>
          <w:sz w:val="24"/>
        </w:rPr>
        <w:t xml:space="preserve">Issues related to interconnection of generating facilities to the distribution and transmission system have always been a matter of state authority.  The issues involved are local in nature and need to be resolved at the local level.  And we should certainly not create another "PURPA" by requiring utilities to interconnect with generators </w:t>
      </w:r>
      <w:r>
        <w:rPr>
          <w:sz w:val="24"/>
          <w:u w:val="single"/>
        </w:rPr>
        <w:t>and</w:t>
      </w:r>
      <w:r>
        <w:rPr>
          <w:sz w:val="24"/>
        </w:rPr>
        <w:t xml:space="preserve"> to provide back-up power.</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0" w:hanging="0"/>
      </w:pPr>
      <w:rPr>
        <w:rFonts w:ascii="Times New Roman" w:hAnsi="Times New Roman" w:cs="Times New Roman" w:hint="default"/>
        <w:sz w:val="35"/>
      </w:rPr>
    </w:lvl>
  </w:abstractNum>
  <w:abstractNum w:abstractNumId="2">
    <w:lvl w:ilvl="0">
      <w:numFmt w:val="bullet"/>
      <w:lvlText w:val="•"/>
      <w:lvlJc w:val="start"/>
      <w:pPr>
        <w:tabs>
          <w:tab w:val="num" w:pos="0"/>
        </w:tabs>
        <w:ind w:start="0" w:hanging="0"/>
      </w:pPr>
      <w:rPr>
        <w:rFonts w:ascii="Times New Roman" w:hAnsi="Times New Roman" w:cs="Times New Roman" w:hint="default"/>
        <w:sz w:val="35"/>
      </w:rPr>
    </w:lvl>
  </w:abstractNum>
  <w:abstractNum w:abstractNumId="3">
    <w:lvl w:ilvl="0">
      <w:numFmt w:val="bullet"/>
      <w:lvlText w:val="•"/>
      <w:lvlJc w:val="start"/>
      <w:pPr>
        <w:tabs>
          <w:tab w:val="num" w:pos="0"/>
        </w:tabs>
        <w:ind w:start="0" w:hanging="0"/>
      </w:pPr>
      <w:rPr>
        <w:rFonts w:ascii="Times New Roman" w:hAnsi="Times New Roman" w:cs="Times New Roman" w:hint="default"/>
        <w:sz w:val="35"/>
      </w:rPr>
    </w:lvl>
  </w:abstractNum>
  <w:abstractNum w:abstractNumId="4">
    <w:lvl w:ilvl="0">
      <w:numFmt w:val="bullet"/>
      <w:lvlText w:val="•"/>
      <w:lvlJc w:val="start"/>
      <w:pPr>
        <w:tabs>
          <w:tab w:val="num" w:pos="0"/>
        </w:tabs>
        <w:ind w:start="0" w:hanging="0"/>
      </w:pPr>
      <w:rPr>
        <w:rFonts w:ascii="Times New Roman" w:hAnsi="Times New Roman" w:cs="Times New Roman" w:hint="default"/>
        <w:sz w:val="35"/>
      </w:rPr>
    </w:lvl>
  </w:abstractNum>
  <w:abstractNum w:abstractNumId="5">
    <w:lvl w:ilvl="0">
      <w:numFmt w:val="bullet"/>
      <w:lvlText w:val="•"/>
      <w:lvlJc w:val="start"/>
      <w:pPr>
        <w:tabs>
          <w:tab w:val="num" w:pos="0"/>
        </w:tabs>
        <w:ind w:start="0" w:hanging="0"/>
      </w:pPr>
      <w:rPr>
        <w:rFonts w:ascii="Times New Roman" w:hAnsi="Times New Roman" w:cs="Times New Roman" w:hint="default"/>
        <w:sz w:val="35"/>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Times New Roman" w:hAnsi="Times New Roman" w:cs="Times New Roman"/>
      <w:sz w:val="35"/>
    </w:rPr>
  </w:style>
  <w:style w:type="character" w:styleId="WW8Num2z0">
    <w:name w:val="WW8Num2z0"/>
    <w:qFormat/>
    <w:rPr>
      <w:rFonts w:ascii="Times New Roman" w:hAnsi="Times New Roman" w:cs="Times New Roman"/>
      <w:sz w:val="35"/>
    </w:rPr>
  </w:style>
  <w:style w:type="character" w:styleId="WW8Num3z0">
    <w:name w:val="WW8Num3z0"/>
    <w:qFormat/>
    <w:rPr>
      <w:rFonts w:ascii="Times New Roman" w:hAnsi="Times New Roman" w:cs="Times New Roman"/>
      <w:sz w:val="35"/>
    </w:rPr>
  </w:style>
  <w:style w:type="character" w:styleId="WW8Num4z0">
    <w:name w:val="WW8Num4z0"/>
    <w:qFormat/>
    <w:rPr>
      <w:rFonts w:ascii="Times New Roman" w:hAnsi="Times New Roman" w:cs="Times New Roman"/>
      <w:sz w:val="35"/>
    </w:rPr>
  </w:style>
  <w:style w:type="character" w:styleId="WW8Num5z0">
    <w:name w:val="WW8Num5z0"/>
    <w:qFormat/>
    <w:rPr>
      <w:rFonts w:ascii="Times New Roman" w:hAnsi="Times New Roman" w:cs="Times New Roman"/>
      <w:sz w:val="35"/>
    </w:rPr>
  </w:style>
  <w:style w:type="character" w:styleId="WW8Num6z0">
    <w:name w:val="WW8Num6z0"/>
    <w:qFormat/>
    <w:rPr>
      <w:rFonts w:ascii="Times New Roman" w:hAnsi="Times New Roman" w:cs="Times New Roman"/>
      <w:sz w:val="35"/>
    </w:rPr>
  </w:style>
  <w:style w:type="character" w:styleId="WW8Num7z0">
    <w:name w:val="WW8Num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2000-05-22T16:28:00Z</dcterms:created>
  <dc:creator>Bruce Edelston</dc:creator>
  <dc:description/>
  <dc:language>en-CA</dc:language>
  <cp:lastModifiedBy>JAMILLER</cp:lastModifiedBy>
  <cp:lastPrinted>2000-05-22T16:09:00Z</cp:lastPrinted>
  <dcterms:modified xsi:type="dcterms:W3CDTF">2000-05-25T15:35:00Z</dcterms:modified>
  <cp:revision>6</cp:revision>
  <dc:subject/>
  <dc:title>Key Principles for Electric Restructuring Legislation</dc:title>
</cp:coreProperties>
</file>