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KEY COMPONENTS FOR A WELL DESIGNED RTO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Independent Governance</w:t>
      </w:r>
      <w:r>
        <w:rPr>
          <w:b/>
          <w:bCs/>
        </w:rPr>
        <w:t xml:space="preserve">.  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>Principle:  No energy market participant (generator, marketer, distributor or utility) controls the RTO either directly or indirectly.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If an ISO formed – A balanced stakeholder process must select the board.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If a Transco formed – Full divestiture by vertically integrated transmission owners is best, but difficult for tax reasons, so passive ownership is acceptable.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RTO personnel meet conflict of interest standards to include board, management and staff.</w:t>
      </w:r>
    </w:p>
    <w:p>
      <w:pPr>
        <w:pStyle w:val="BodyTextIndent2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Regional Scope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>Principle:  The RTO’s operational authority should match the geographic scale of the relevant energy market.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Since there is only one market in the West, a single West-WideRTO is preferable. 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 balance of state interests will be best achieved in a large organization not dominated by any single state’s influence.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Smaller RTOs (RTO West, DSTAR) with can only work if implemented quickly, contain the key components and address seams issues.</w:t>
      </w:r>
    </w:p>
    <w:p>
      <w:pPr>
        <w:pStyle w:val="Normal"/>
        <w:ind w:start="72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Pricing Reform – Pancaking and Congestion Management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 xml:space="preserve">Principle:  Pancaking of fixed charges must be eliminated and a congestion management system must be put in place. 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“</w:t>
      </w:r>
      <w:r>
        <w:rPr>
          <w:rFonts w:cs="Times New Roman" w:ascii="Times New Roman" w:hAnsi="Times New Roman"/>
          <w:b w:val="false"/>
          <w:bCs w:val="false"/>
        </w:rPr>
        <w:t>License plate” access fees can mitigate cost shifts between parties.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Efficient use of the system requires pricing of transmission congestion and zonal prices for balancing and settlement of forward energy sales and purchases.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 tradable property right must be defined to allow parties to hedge congestion cost.</w:t>
      </w:r>
    </w:p>
    <w:p>
      <w:pPr>
        <w:pStyle w:val="BodyTextIndent2"/>
        <w:ind w:hanging="0" w:start="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Planning and Expansion Authority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 xml:space="preserve">Principle:  The RTO must have authority to plan for future needs and to enable expansion of the transmission system. 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Conducts planning studies for both local and inter-regional market need.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Authority to cause transmission owners to build new facilities as needed.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Cost of local transmission included in access fees.</w:t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Cost of inter-regional transmission expansion covered by benefiting parties who fund in exchange for transmission property rights.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Operational Authority</w:t>
      </w:r>
      <w:r>
        <w:rPr>
          <w:b/>
          <w:bCs/>
        </w:rPr>
        <w:t>.</w:t>
      </w:r>
    </w:p>
    <w:p>
      <w:pPr>
        <w:pStyle w:val="BodyTextIndent2"/>
        <w:ind w:hanging="1080" w:start="1800" w:end="0"/>
        <w:rPr>
          <w:b w:val="false"/>
          <w:bCs w:val="false"/>
        </w:rPr>
      </w:pPr>
      <w:r>
        <w:rPr>
          <w:b w:val="false"/>
          <w:bCs w:val="false"/>
        </w:rPr>
        <w:t xml:space="preserve">Principle:  The RTO should operate as a single control area and provide all transmission service under its own FERC tariff. </w:t>
      </w:r>
    </w:p>
    <w:p>
      <w:pPr>
        <w:pStyle w:val="BodyTextIndent2"/>
        <w:ind w:hanging="1080" w:start="1800" w:end="0"/>
        <w:rPr>
          <w:b w:val="false"/>
          <w:bCs w:val="false"/>
          <w:sz w:val="8"/>
        </w:rPr>
      </w:pPr>
      <w:r>
        <w:rPr>
          <w:b w:val="false"/>
          <w:bCs w:val="false"/>
          <w:sz w:val="8"/>
        </w:rPr>
      </w:r>
    </w:p>
    <w:p>
      <w:pPr>
        <w:pStyle w:val="BodyTextIndent2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RTO must have full authority over scheduling, dispatch, outages, switching, etc.</w:t>
      </w:r>
    </w:p>
    <w:p>
      <w:pPr>
        <w:pStyle w:val="BodyTextIndent2"/>
        <w:numPr>
          <w:ilvl w:val="0"/>
          <w:numId w:val="2"/>
        </w:numPr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Utilities and all others subject to the same tariff price, terms and conditions.</w:t>
      </w:r>
    </w:p>
    <w:sectPr>
      <w:headerReference w:type="default" r:id="rId2"/>
      <w:footerReference w:type="default" r:id="rId3"/>
      <w:type w:val="nextPage"/>
      <w:pgSz w:w="12240" w:h="15840"/>
      <w:pgMar w:left="153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270" w:leader="none"/>
      </w:tabs>
      <w:rPr>
        <w:sz w:val="18"/>
      </w:rPr>
    </w:pPr>
    <w:r>
      <w:rPr>
        <w:sz w:val="18"/>
      </w:rPr>
      <w:t>S.Walton</w:t>
      <w:tab/>
      <w:tab/>
      <w:t>4Sep2001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BodyTextIndent2">
    <w:name w:val="Body Text Indent 2"/>
    <w:basedOn w:val="Normal"/>
    <w:qFormat/>
    <w:pPr>
      <w:ind w:hanging="1260" w:start="1980" w:end="0"/>
    </w:pPr>
    <w:rPr>
      <w:b/>
      <w:bCs/>
      <w:i/>
      <w:i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2001-09-04T12:07:00Z</dcterms:created>
  <dc:creator>swalto2</dc:creator>
  <dc:description/>
  <dc:language>en-CA</dc:language>
  <cp:lastModifiedBy>swalto2</cp:lastModifiedBy>
  <cp:lastPrinted>2001-09-04T09:34:00Z</cp:lastPrinted>
  <dcterms:modified xsi:type="dcterms:W3CDTF">2001-09-04T12:21:00Z</dcterms:modified>
  <cp:revision>3</cp:revision>
  <dc:subject/>
  <dc:title>Key Components </dc:title>
</cp:coreProperties>
</file>