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KEY COMPONENTS FOR A WELL DESIGNED RTO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numPr>
          <w:ilvl w:val="0"/>
          <w:numId w:val="1"/>
        </w:numPr>
        <w:rPr>
          <w:b/>
          <w:bCs/>
        </w:rPr>
      </w:pPr>
      <w:r>
        <w:rPr>
          <w:b/>
          <w:bCs/>
          <w:u w:val="single"/>
        </w:rPr>
        <w:t>Independent Governance</w:t>
      </w:r>
      <w:r>
        <w:rPr>
          <w:b/>
          <w:bCs/>
        </w:rPr>
        <w:t xml:space="preserve">.  </w:t>
      </w:r>
    </w:p>
    <w:p>
      <w:pPr>
        <w:pStyle w:val="BodyTextIndent2"/>
        <w:ind w:hanging="1080" w:start="1800" w:end="0"/>
        <w:rPr>
          <w:b w:val="false"/>
          <w:bCs w:val="false"/>
        </w:rPr>
      </w:pPr>
      <w:r>
        <w:rPr>
          <w:b w:val="false"/>
          <w:bCs w:val="false"/>
        </w:rPr>
        <w:t>Principle:  No energy market participant (generator, marketer, distributor or utility) controls the RTO either directly or indirectly.</w:t>
      </w:r>
    </w:p>
    <w:p>
      <w:pPr>
        <w:pStyle w:val="BodyTextIndent2"/>
        <w:ind w:hanging="1080" w:start="1800" w:end="0"/>
        <w:rPr>
          <w:b w:val="false"/>
          <w:bCs w:val="false"/>
          <w:sz w:val="8"/>
        </w:rPr>
      </w:pPr>
      <w:r>
        <w:rPr>
          <w:b w:val="false"/>
          <w:bCs w:val="false"/>
          <w:sz w:val="8"/>
        </w:rPr>
      </w:r>
    </w:p>
    <w:p>
      <w:pPr>
        <w:pStyle w:val="BodyTextIndent2"/>
        <w:numPr>
          <w:ilvl w:val="0"/>
          <w:numId w:val="2"/>
        </w:numPr>
        <w:rPr>
          <w:b w:val="false"/>
          <w:bCs w:val="false"/>
        </w:rPr>
      </w:pPr>
      <w:r>
        <w:rPr>
          <w:rFonts w:cs="Times New Roman" w:ascii="Times New Roman" w:hAnsi="Times New Roman"/>
          <w:b w:val="false"/>
          <w:bCs w:val="false"/>
        </w:rPr>
        <w:t>If an ISO formed – The board is selected by a balanced stakeholder process</w:t>
      </w:r>
    </w:p>
    <w:p>
      <w:pPr>
        <w:pStyle w:val="BodyTextIndent2"/>
        <w:numPr>
          <w:ilvl w:val="0"/>
          <w:numId w:val="2"/>
        </w:numPr>
        <w:rPr>
          <w:b w:val="false"/>
          <w:bCs w:val="false"/>
        </w:rPr>
      </w:pPr>
      <w:r>
        <w:rPr>
          <w:rFonts w:cs="Times New Roman" w:ascii="Times New Roman" w:hAnsi="Times New Roman"/>
          <w:b w:val="false"/>
          <w:bCs w:val="false"/>
        </w:rPr>
        <w:t>If a Transco formed – Full divestiture by vertically integrated transmission owners is best, but difficult for tax reasons, so passive ownership is acceptable.</w:t>
      </w:r>
    </w:p>
    <w:p>
      <w:pPr>
        <w:pStyle w:val="BodyTextIndent2"/>
        <w:numPr>
          <w:ilvl w:val="0"/>
          <w:numId w:val="2"/>
        </w:numPr>
        <w:rPr>
          <w:b w:val="false"/>
          <w:bCs w:val="false"/>
        </w:rPr>
      </w:pPr>
      <w:r>
        <w:rPr>
          <w:rFonts w:cs="Times New Roman" w:ascii="Times New Roman" w:hAnsi="Times New Roman"/>
          <w:b w:val="false"/>
          <w:bCs w:val="false"/>
        </w:rPr>
        <w:t>RTO personnel meet conflict of interest standards to include board, management and staff.</w:t>
      </w:r>
    </w:p>
    <w:p>
      <w:pPr>
        <w:pStyle w:val="BodyTextIndent2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numPr>
          <w:ilvl w:val="0"/>
          <w:numId w:val="1"/>
        </w:numPr>
        <w:rPr>
          <w:b/>
          <w:bCs/>
        </w:rPr>
      </w:pPr>
      <w:r>
        <w:rPr>
          <w:b/>
          <w:bCs/>
          <w:u w:val="single"/>
        </w:rPr>
        <w:t>Regional Scope</w:t>
      </w:r>
      <w:r>
        <w:rPr>
          <w:b/>
          <w:bCs/>
        </w:rPr>
        <w:t>.</w:t>
      </w:r>
    </w:p>
    <w:p>
      <w:pPr>
        <w:pStyle w:val="BodyTextIndent2"/>
        <w:ind w:hanging="1080" w:start="1800" w:end="0"/>
        <w:rPr>
          <w:b w:val="false"/>
          <w:bCs w:val="false"/>
        </w:rPr>
      </w:pPr>
      <w:r>
        <w:rPr>
          <w:b w:val="false"/>
          <w:bCs w:val="false"/>
        </w:rPr>
        <w:t>Principle:  The RTO’s operational authority should match the geographic scale of the relevant energy market.</w:t>
      </w:r>
    </w:p>
    <w:p>
      <w:pPr>
        <w:pStyle w:val="BodyTextIndent2"/>
        <w:ind w:hanging="1080" w:start="1800" w:end="0"/>
        <w:rPr>
          <w:b w:val="false"/>
          <w:bCs w:val="false"/>
          <w:sz w:val="8"/>
        </w:rPr>
      </w:pPr>
      <w:r>
        <w:rPr>
          <w:b w:val="false"/>
          <w:bCs w:val="false"/>
          <w:sz w:val="8"/>
        </w:rPr>
      </w:r>
    </w:p>
    <w:p>
      <w:pPr>
        <w:pStyle w:val="BodyTextIndent2"/>
        <w:numPr>
          <w:ilvl w:val="0"/>
          <w:numId w:val="2"/>
        </w:numPr>
        <w:rPr>
          <w:b w:val="false"/>
          <w:bCs w:val="false"/>
        </w:rPr>
      </w:pPr>
      <w:r>
        <w:rPr>
          <w:rFonts w:cs="Times New Roman" w:ascii="Times New Roman" w:hAnsi="Times New Roman"/>
          <w:b w:val="false"/>
          <w:bCs w:val="false"/>
        </w:rPr>
        <w:t xml:space="preserve">Since there is only one market in the West, a single West-WideRTO is preferable. </w:t>
      </w:r>
    </w:p>
    <w:p>
      <w:pPr>
        <w:pStyle w:val="BodyTextIndent2"/>
        <w:numPr>
          <w:ilvl w:val="0"/>
          <w:numId w:val="2"/>
        </w:numPr>
        <w:rPr>
          <w:b w:val="false"/>
          <w:bCs w:val="false"/>
        </w:rPr>
      </w:pPr>
      <w:r>
        <w:rPr>
          <w:rFonts w:cs="Times New Roman" w:ascii="Times New Roman" w:hAnsi="Times New Roman"/>
          <w:b w:val="false"/>
          <w:bCs w:val="false"/>
        </w:rPr>
        <w:t>A balance of state interests will be best achieved in a large organization not dominated by any single state’s influence.</w:t>
      </w:r>
    </w:p>
    <w:p>
      <w:pPr>
        <w:pStyle w:val="BodyTextIndent2"/>
        <w:numPr>
          <w:ilvl w:val="0"/>
          <w:numId w:val="2"/>
        </w:numPr>
        <w:rPr>
          <w:b w:val="false"/>
          <w:bCs w:val="false"/>
        </w:rPr>
      </w:pPr>
      <w:r>
        <w:rPr>
          <w:rFonts w:cs="Times New Roman" w:ascii="Times New Roman" w:hAnsi="Times New Roman"/>
          <w:b w:val="false"/>
          <w:bCs w:val="false"/>
        </w:rPr>
        <w:t>Smaller RTOs (RTO West, DSTAR) with could work but only if implemented quickly, contain key components and address seams issues.</w:t>
      </w:r>
    </w:p>
    <w:p>
      <w:pPr>
        <w:pStyle w:val="Normal"/>
        <w:ind w:start="720" w:end="0"/>
        <w:rPr>
          <w:b/>
          <w:bCs/>
          <w:i/>
          <w:i/>
          <w:iCs/>
        </w:rPr>
      </w:pPr>
      <w:r>
        <w:rPr>
          <w:b/>
          <w:bCs/>
          <w:i/>
          <w:iCs/>
        </w:rPr>
      </w:r>
    </w:p>
    <w:p>
      <w:pPr>
        <w:pStyle w:val="Normal"/>
        <w:numPr>
          <w:ilvl w:val="0"/>
          <w:numId w:val="1"/>
        </w:numPr>
        <w:rPr>
          <w:b/>
          <w:bCs/>
        </w:rPr>
      </w:pPr>
      <w:r>
        <w:rPr>
          <w:b/>
          <w:bCs/>
          <w:u w:val="single"/>
        </w:rPr>
        <w:t>Pricing Reform – Pancaking and Congestion Management</w:t>
      </w:r>
      <w:r>
        <w:rPr>
          <w:b/>
          <w:bCs/>
        </w:rPr>
        <w:t>.</w:t>
      </w:r>
    </w:p>
    <w:p>
      <w:pPr>
        <w:pStyle w:val="BodyTextIndent2"/>
        <w:ind w:hanging="1080" w:start="1800" w:end="0"/>
        <w:rPr>
          <w:b w:val="false"/>
          <w:bCs w:val="false"/>
        </w:rPr>
      </w:pPr>
      <w:r>
        <w:rPr>
          <w:b w:val="false"/>
          <w:bCs w:val="false"/>
        </w:rPr>
        <w:t xml:space="preserve">Principle:  Pancaking of fixed charges must be eliminated and a congestion management system must be put in place. </w:t>
      </w:r>
    </w:p>
    <w:p>
      <w:pPr>
        <w:pStyle w:val="BodyTextIndent2"/>
        <w:ind w:hanging="1080" w:start="1800" w:end="0"/>
        <w:rPr>
          <w:b w:val="false"/>
          <w:bCs w:val="false"/>
          <w:sz w:val="8"/>
        </w:rPr>
      </w:pPr>
      <w:r>
        <w:rPr>
          <w:b w:val="false"/>
          <w:bCs w:val="false"/>
          <w:sz w:val="8"/>
        </w:rPr>
      </w:r>
    </w:p>
    <w:p>
      <w:pPr>
        <w:pStyle w:val="BodyTextIndent2"/>
        <w:numPr>
          <w:ilvl w:val="0"/>
          <w:numId w:val="2"/>
        </w:numPr>
        <w:rPr>
          <w:b w:val="false"/>
          <w:bCs w:val="false"/>
        </w:rPr>
      </w:pPr>
      <w:r>
        <w:rPr>
          <w:rFonts w:cs="Times New Roman" w:ascii="Times New Roman" w:hAnsi="Times New Roman"/>
          <w:b w:val="false"/>
          <w:bCs w:val="false"/>
        </w:rPr>
        <w:t>“</w:t>
      </w:r>
      <w:r>
        <w:rPr>
          <w:rFonts w:cs="Times New Roman" w:ascii="Times New Roman" w:hAnsi="Times New Roman"/>
          <w:b w:val="false"/>
          <w:bCs w:val="false"/>
        </w:rPr>
        <w:t>License plate” access fees can mitigate cost shifts between parties.</w:t>
      </w:r>
    </w:p>
    <w:p>
      <w:pPr>
        <w:pStyle w:val="BodyTextIndent2"/>
        <w:numPr>
          <w:ilvl w:val="0"/>
          <w:numId w:val="2"/>
        </w:numPr>
        <w:rPr>
          <w:b w:val="false"/>
          <w:bCs w:val="false"/>
        </w:rPr>
      </w:pPr>
      <w:r>
        <w:rPr>
          <w:rFonts w:cs="Times New Roman" w:ascii="Times New Roman" w:hAnsi="Times New Roman"/>
          <w:b w:val="false"/>
          <w:bCs w:val="false"/>
        </w:rPr>
        <w:t>Efficient use of the system requires pricing of transmission congestion and zonal prices for balancing and settlement of forward energy sales and purchases.</w:t>
      </w:r>
    </w:p>
    <w:p>
      <w:pPr>
        <w:pStyle w:val="BodyTextIndent2"/>
        <w:numPr>
          <w:ilvl w:val="0"/>
          <w:numId w:val="2"/>
        </w:numPr>
        <w:rPr>
          <w:b w:val="false"/>
          <w:bCs w:val="false"/>
        </w:rPr>
      </w:pPr>
      <w:r>
        <w:rPr>
          <w:rFonts w:cs="Times New Roman" w:ascii="Times New Roman" w:hAnsi="Times New Roman"/>
          <w:b w:val="false"/>
          <w:bCs w:val="false"/>
        </w:rPr>
        <w:t>A tradable property must be defined to allow parties to hedge congestion cost.</w:t>
      </w:r>
    </w:p>
    <w:p>
      <w:pPr>
        <w:pStyle w:val="BodyTextIndent2"/>
        <w:ind w:hanging="0" w:start="0" w:end="0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numPr>
          <w:ilvl w:val="0"/>
          <w:numId w:val="1"/>
        </w:numPr>
        <w:rPr>
          <w:b/>
          <w:bCs/>
          <w:u w:val="single"/>
        </w:rPr>
      </w:pPr>
      <w:r>
        <w:rPr>
          <w:b/>
          <w:bCs/>
          <w:u w:val="single"/>
        </w:rPr>
        <w:t>Planning and Expansion Authority</w:t>
      </w:r>
      <w:r>
        <w:rPr>
          <w:b/>
          <w:bCs/>
        </w:rPr>
        <w:t>.</w:t>
      </w:r>
    </w:p>
    <w:p>
      <w:pPr>
        <w:pStyle w:val="BodyTextIndent2"/>
        <w:ind w:hanging="1080" w:start="1800" w:end="0"/>
        <w:rPr>
          <w:b w:val="false"/>
          <w:bCs w:val="false"/>
        </w:rPr>
      </w:pPr>
      <w:r>
        <w:rPr>
          <w:b w:val="false"/>
          <w:bCs w:val="false"/>
        </w:rPr>
        <w:t xml:space="preserve">Principle:  The RTO must have authority to plan for future needs and to enable expansion of the transmission system. </w:t>
      </w:r>
    </w:p>
    <w:p>
      <w:pPr>
        <w:pStyle w:val="BodyTextIndent2"/>
        <w:ind w:hanging="1080" w:start="1800" w:end="0"/>
        <w:rPr>
          <w:b w:val="false"/>
          <w:bCs w:val="false"/>
          <w:sz w:val="8"/>
        </w:rPr>
      </w:pPr>
      <w:r>
        <w:rPr>
          <w:b w:val="false"/>
          <w:bCs w:val="false"/>
          <w:sz w:val="8"/>
        </w:rPr>
      </w:r>
    </w:p>
    <w:p>
      <w:pPr>
        <w:pStyle w:val="BodyTextIndent2"/>
        <w:numPr>
          <w:ilvl w:val="0"/>
          <w:numId w:val="2"/>
        </w:numPr>
        <w:rPr>
          <w:b w:val="false"/>
          <w:bCs w:val="false"/>
        </w:rPr>
      </w:pPr>
      <w:r>
        <w:rPr>
          <w:rFonts w:cs="Times New Roman" w:ascii="Times New Roman" w:hAnsi="Times New Roman"/>
          <w:b w:val="false"/>
          <w:bCs w:val="false"/>
        </w:rPr>
        <w:t>Conducts planning studies for both local and inter-regional market need.</w:t>
      </w:r>
    </w:p>
    <w:p>
      <w:pPr>
        <w:pStyle w:val="BodyTextIndent2"/>
        <w:numPr>
          <w:ilvl w:val="0"/>
          <w:numId w:val="2"/>
        </w:numPr>
        <w:rPr>
          <w:b w:val="false"/>
          <w:bCs w:val="false"/>
        </w:rPr>
      </w:pPr>
      <w:r>
        <w:rPr>
          <w:rFonts w:cs="Times New Roman" w:ascii="Times New Roman" w:hAnsi="Times New Roman"/>
          <w:b w:val="false"/>
          <w:bCs w:val="false"/>
        </w:rPr>
        <w:t>Authority to cause transmission owners to build new facilities as needed.</w:t>
      </w:r>
    </w:p>
    <w:p>
      <w:pPr>
        <w:pStyle w:val="BodyTextIndent2"/>
        <w:numPr>
          <w:ilvl w:val="0"/>
          <w:numId w:val="2"/>
        </w:numPr>
        <w:rPr>
          <w:b w:val="false"/>
          <w:bCs w:val="false"/>
        </w:rPr>
      </w:pPr>
      <w:r>
        <w:rPr>
          <w:rFonts w:cs="Times New Roman" w:ascii="Times New Roman" w:hAnsi="Times New Roman"/>
          <w:b w:val="false"/>
          <w:bCs w:val="false"/>
        </w:rPr>
        <w:t>Cost of local transmission included in access fees.</w:t>
      </w:r>
    </w:p>
    <w:p>
      <w:pPr>
        <w:pStyle w:val="BodyTextIndent2"/>
        <w:numPr>
          <w:ilvl w:val="0"/>
          <w:numId w:val="2"/>
        </w:numPr>
        <w:rPr>
          <w:b w:val="false"/>
          <w:bCs w:val="false"/>
        </w:rPr>
      </w:pPr>
      <w:r>
        <w:rPr>
          <w:rFonts w:cs="Times New Roman" w:ascii="Times New Roman" w:hAnsi="Times New Roman"/>
          <w:b w:val="false"/>
          <w:bCs w:val="false"/>
        </w:rPr>
        <w:t>Cost of inter-regional transmission expansion covered by benefiting parties who fund in exchange for transmission property rights.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numPr>
          <w:ilvl w:val="0"/>
          <w:numId w:val="1"/>
        </w:numPr>
        <w:rPr>
          <w:b/>
          <w:bCs/>
        </w:rPr>
      </w:pPr>
      <w:r>
        <w:rPr>
          <w:b/>
          <w:bCs/>
          <w:u w:val="single"/>
        </w:rPr>
        <w:t>Operational Authority</w:t>
      </w:r>
      <w:r>
        <w:rPr>
          <w:b/>
          <w:bCs/>
        </w:rPr>
        <w:t>.</w:t>
      </w:r>
    </w:p>
    <w:p>
      <w:pPr>
        <w:pStyle w:val="BodyTextIndent2"/>
        <w:ind w:hanging="1080" w:start="1800" w:end="0"/>
        <w:rPr>
          <w:b w:val="false"/>
          <w:bCs w:val="false"/>
        </w:rPr>
      </w:pPr>
      <w:r>
        <w:rPr>
          <w:b w:val="false"/>
          <w:bCs w:val="false"/>
        </w:rPr>
        <w:t xml:space="preserve">Principle:  The RTO should operate as a single control area and provide all transmission service under its own FERC tariff. </w:t>
      </w:r>
    </w:p>
    <w:p>
      <w:pPr>
        <w:pStyle w:val="BodyTextIndent2"/>
        <w:ind w:hanging="1080" w:start="1800" w:end="0"/>
        <w:rPr>
          <w:b w:val="false"/>
          <w:bCs w:val="false"/>
          <w:sz w:val="8"/>
        </w:rPr>
      </w:pPr>
      <w:r>
        <w:rPr>
          <w:b w:val="false"/>
          <w:bCs w:val="false"/>
          <w:sz w:val="8"/>
        </w:rPr>
      </w:r>
    </w:p>
    <w:p>
      <w:pPr>
        <w:pStyle w:val="BodyTextIndent2"/>
        <w:numPr>
          <w:ilvl w:val="0"/>
          <w:numId w:val="2"/>
        </w:numPr>
        <w:rPr>
          <w:b w:val="false"/>
          <w:bCs w:val="false"/>
        </w:rPr>
      </w:pPr>
      <w:r>
        <w:rPr>
          <w:rFonts w:cs="Times New Roman" w:ascii="Times New Roman" w:hAnsi="Times New Roman"/>
          <w:b w:val="false"/>
          <w:bCs w:val="false"/>
        </w:rPr>
        <w:t>RTO must have full authority over scheduling, dispatch, outages, switching, etc.</w:t>
      </w:r>
    </w:p>
    <w:p>
      <w:pPr>
        <w:pStyle w:val="BodyTextIndent2"/>
        <w:numPr>
          <w:ilvl w:val="0"/>
          <w:numId w:val="2"/>
        </w:numPr>
        <w:rPr>
          <w:rFonts w:ascii="Times New Roman" w:hAnsi="Times New Roman" w:cs="Times New Roman"/>
          <w:b w:val="false"/>
          <w:bCs w:val="false"/>
        </w:rPr>
      </w:pPr>
      <w:r>
        <w:rPr>
          <w:rFonts w:cs="Times New Roman" w:ascii="Times New Roman" w:hAnsi="Times New Roman"/>
          <w:b w:val="false"/>
          <w:bCs w:val="false"/>
        </w:rPr>
        <w:t>Utilities and all others subject to the same tariff price, terms and conditions.</w:t>
      </w:r>
    </w:p>
    <w:sectPr>
      <w:footerReference w:type="default" r:id="rId2"/>
      <w:type w:val="nextPage"/>
      <w:pgSz w:w="12240" w:h="15840"/>
      <w:pgMar w:left="1530" w:right="1440" w:gutter="0" w:header="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8640"/>
        <w:tab w:val="center" w:pos="4320" w:leader="none"/>
        <w:tab w:val="right" w:pos="9270" w:leader="none"/>
      </w:tabs>
      <w:rPr>
        <w:sz w:val="18"/>
      </w:rPr>
    </w:pPr>
    <w:r>
      <w:rPr>
        <w:sz w:val="18"/>
      </w:rPr>
      <w:t>S.Walton</w:t>
      <w:tab/>
      <w:tab/>
      <w:t>31Aug2001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1440"/>
        </w:tabs>
        <w:ind w:start="144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4"/>
      <w:szCs w:val="24"/>
      <w:lang w:val="en-US" w:bidi="ar-SA" w:eastAsia="zh-CN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bCs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">
    <w:name w:val="Body Text Indent"/>
    <w:basedOn w:val="Normal"/>
    <w:pPr>
      <w:ind w:hanging="0" w:start="720" w:end="0"/>
    </w:pPr>
    <w:rPr/>
  </w:style>
  <w:style w:type="paragraph" w:styleId="BodyTextIndent2">
    <w:name w:val="Body Text Indent 2"/>
    <w:basedOn w:val="Normal"/>
    <w:qFormat/>
    <w:pPr>
      <w:ind w:hanging="1260" w:start="1980" w:end="0"/>
    </w:pPr>
    <w:rPr>
      <w:b/>
      <w:bCs/>
      <w:i/>
      <w:iCs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156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2001-08-31T16:03:00Z</dcterms:created>
  <dc:creator>swalto2</dc:creator>
  <dc:description/>
  <dc:language>en-CA</dc:language>
  <cp:lastModifiedBy>swalto2</cp:lastModifiedBy>
  <cp:lastPrinted>2001-08-31T16:07:00Z</cp:lastPrinted>
  <dcterms:modified xsi:type="dcterms:W3CDTF">2001-08-31T18:39:00Z</dcterms:modified>
  <cp:revision>6</cp:revision>
  <dc:subject/>
  <dc:title>Key Components </dc:title>
</cp:coreProperties>
</file>