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59"/>
        <w:ind w:end="-398"/>
        <w:rPr/>
      </w:pPr>
      <w:r>
        <w:rPr/>
        <w:t>February [], 2001</w:t>
      </w:r>
    </w:p>
    <w:p>
      <w:pPr>
        <w:pStyle w:val="Normal"/>
        <w:spacing w:lineRule="exact" w:line="259"/>
        <w:ind w:end="-398"/>
        <w:rPr/>
      </w:pPr>
      <w:r>
        <w:rPr/>
      </w:r>
    </w:p>
    <w:p>
      <w:pPr>
        <w:pStyle w:val="Normal"/>
        <w:spacing w:lineRule="exact" w:line="259"/>
        <w:ind w:end="-398"/>
        <w:rPr/>
      </w:pPr>
      <w:r>
        <w:rPr/>
      </w:r>
    </w:p>
    <w:p>
      <w:pPr>
        <w:pStyle w:val="Normal"/>
        <w:spacing w:lineRule="exact" w:line="259"/>
        <w:ind w:end="-398"/>
        <w:rPr/>
      </w:pPr>
      <w:r>
        <w:rPr/>
        <w:t>Enron North America Corp.</w:t>
      </w:r>
    </w:p>
    <w:p>
      <w:pPr>
        <w:pStyle w:val="Normal"/>
        <w:spacing w:lineRule="exact" w:line="259" w:before="28" w:after="0"/>
        <w:ind w:end="-398"/>
        <w:rPr/>
      </w:pPr>
      <w:r>
        <w:rPr/>
        <w:t>Credit Department</w:t>
      </w:r>
    </w:p>
    <w:p>
      <w:pPr>
        <w:pStyle w:val="Normal"/>
        <w:spacing w:lineRule="exact" w:line="259" w:before="28" w:after="0"/>
        <w:ind w:end="-398"/>
        <w:rPr/>
      </w:pPr>
      <w:r>
        <w:rPr/>
        <w:t>Attn. Jason Williams</w:t>
      </w:r>
    </w:p>
    <w:p>
      <w:pPr>
        <w:pStyle w:val="Normal"/>
        <w:spacing w:lineRule="exact" w:line="259" w:before="28" w:after="0"/>
        <w:ind w:end="-398"/>
        <w:rPr/>
      </w:pPr>
      <w:r>
        <w:rPr/>
        <w:t>1400 Smith Street</w:t>
      </w:r>
    </w:p>
    <w:p>
      <w:pPr>
        <w:pStyle w:val="Caption"/>
        <w:ind w:end="-398"/>
        <w:rPr/>
      </w:pPr>
      <w:r>
        <w:rPr/>
        <w:t>Houston, TX  77002-7631</w:t>
      </w:r>
    </w:p>
    <w:p>
      <w:pPr>
        <w:pStyle w:val="Caption"/>
        <w:ind w:end="-398"/>
        <w:rPr/>
      </w:pPr>
      <w:r>
        <w:rPr/>
      </w:r>
    </w:p>
    <w:p>
      <w:pPr>
        <w:pStyle w:val="Caption"/>
        <w:ind w:end="-398"/>
        <w:rPr/>
      </w:pPr>
      <w:r>
        <w:rPr/>
        <w:t>Dear Mr. Williams:</w:t>
      </w:r>
    </w:p>
    <w:p>
      <w:pPr>
        <w:pStyle w:val="BodyTextIndent"/>
        <w:ind w:start="0" w:end="0"/>
        <w:rPr/>
      </w:pPr>
      <w:r>
        <w:rPr/>
        <w:t>In consideration of, and in order to induce Enron North America Corp ("Enron") to purchase, sell or exchange natural gas pursuant to contracts(s) (the "Transactions"), from time to time, for the benefit of Northeast Gas Markets LLC, a partially-owned subsidiary of KeySpan Corporation d/b/a KeySpan Energy ("KeySpan"), (the "Guaranteed Party"), KeySpan guarantees to the benefit of Enron, the payment by the Guaranteed Party of all amounts that the Guaranteed Party is obligated to pay for the Transactions up to $10,000,000 (ten million U.S. dollars).</w:t>
      </w:r>
    </w:p>
    <w:p>
      <w:pPr>
        <w:pStyle w:val="Normal"/>
        <w:spacing w:lineRule="exact" w:line="264" w:before="264" w:after="0"/>
        <w:rPr/>
      </w:pPr>
      <w:r>
        <w:rPr/>
        <w:t>KeySpan unconditionally guarantees, subject to the exception set forth below in this paragraph, to Enron the full, faithful and prompt payment, performance and discharge by the Guaranteed Party of all the terms and conditions of the Transaction and any supplemental agreements thereto.  It being understood that this guaranty is made by KeySpan, for which this guaranty does not include the assets of The Brooklyn Union Gas Co. d/b/a KeySpan Energy Delivery New York, KeySpan Gas East Corp. d/b/a KeySpan Energy Delivery Long Island,  KeySpan Generation LLC, and/or any of EnergyNorth Natural Gas, Inc., Boston Gas Company, Colonial Gas Company, and/or Essex Gas Company, each d/b/a KeySpan Energy Delivery New England, nor may any payment, performance or discharge be made by these entities to support such guaranty.  In the event of any default by the Guaranteed Party in payment or performance of any of its obligations under the Transaction, KeySpan, after 5 business days written notice of such deficiency, shall be and become bound to pay, perform and discharge the same in the same manner and as fully as if KeySpan had originally executed the Transaction.  KeySpan will pay and perform its obligations hereunder upon demand, after 5 business days written notice of such deficiency, without requiring any proceedings to be taken against the Guaranteed Party, or any third party, and without the necessity of enforcing any remedy available under the terms of the Transaction.  It being understood, that if the Guaranteed Party has not paid any and/or all payments due under the Transaction within five (5) days of due date of the payment, KeySpan will upon demand pay, after 5 business days written notice of such deficiency, such invoices without requiring Enron to make further demand upon the Guaranteed Party.  This is a guaranty of payment and not collection.</w:t>
      </w:r>
    </w:p>
    <w:p>
      <w:pPr>
        <w:pStyle w:val="Normal"/>
        <w:spacing w:lineRule="exact" w:line="264" w:before="264" w:after="0"/>
        <w:rPr/>
      </w:pPr>
      <w:r>
        <w:rPr/>
      </w:r>
    </w:p>
    <w:p>
      <w:pPr>
        <w:pStyle w:val="Normal"/>
        <w:spacing w:lineRule="exact" w:line="264"/>
        <w:rPr/>
      </w:pPr>
      <w:r>
        <w:rPr/>
        <w:t>KeySpan's liability hereunder is limited to direct, actual, monetary damages under the Transaction, provided that, in no event will KeySpan be subject to consequential, special, exemplary, equitable, loss of profits, tort or any other damages, except for attorney's fees or costs incurred in enforcing its rights hereunder in good faith.  KeySpan reserves to itself all rights, setoffs, counterclaims and other defenses to which the Guaranteed Party, or any other KeySpan affiliate, is or may be entitled.  Except as provided hereunder KeySpan's obligation hereunder shall not be affected by the existence, validity, enforceability, perfection, or extent of any collateral therefor or by any other surety defense relating to the Transaction that might otherwise constitute a legal or equitable discharge of or defense to KeySpan not available to the Guaranteed Party.</w:t>
      </w:r>
    </w:p>
    <w:p>
      <w:pPr>
        <w:pStyle w:val="Normal"/>
        <w:spacing w:lineRule="exact" w:line="264"/>
        <w:rPr/>
      </w:pPr>
      <w:r>
        <w:rPr/>
      </w:r>
    </w:p>
    <w:p>
      <w:pPr>
        <w:pStyle w:val="Normal"/>
        <w:spacing w:lineRule="exact" w:line="268" w:before="259" w:after="0"/>
        <w:rPr/>
      </w:pPr>
      <w:r>
        <w:rPr/>
        <w:t>The liability of the undersigned under this Guaranty shall be absolute and unconditional, subject to the exceptions above, irrespective of (i) any change of the time, manner or place of payment, or any other term, of any Transaction; (ii) any exchange, release or non-perfection of any collateral securing payment of any Transaction; and (iii) any discharge of, the Guaranteed Party or KeySpan.  This Guaranty shall continue to be effective or be reinstated, as the case may be, if at any time any payment of any of the obligations incurred while this Guaranty is in effect is rescinded or must otherwise be returned by Enron to the Guaranteed Party upon the insolvency, bankruptcy or reorganization of the Guaranteed Party or otherwise, all as though such payment had not been made.</w:t>
      </w:r>
    </w:p>
    <w:p>
      <w:pPr>
        <w:pStyle w:val="Normal"/>
        <w:spacing w:lineRule="exact" w:line="268" w:before="240" w:after="0"/>
        <w:rPr/>
      </w:pPr>
      <w:r>
        <w:rPr/>
        <w:t>This Guaranty shall become effective January 1, 2001 at 12:01 a.m. and will terminate at December 31, 2001 at 11:59 p.m. or immediately after written notice of termination from KeySpan ("Termination Date"). No termination of this Guaranty shall affect any valid and enforceable obligations incurred by KeySpan under this Guaranty at the time of termination. Guarantor's obligations hereunder shall continue until the later of the termination date (as defined above) or the satisfaction of only those valid obligations existing at the time of termination.</w:t>
      </w:r>
    </w:p>
    <w:p>
      <w:pPr>
        <w:pStyle w:val="Normal"/>
        <w:spacing w:lineRule="exact" w:line="268" w:before="244" w:after="0"/>
        <w:rPr/>
      </w:pPr>
      <w:r>
        <w:rPr/>
        <w:t>Notice of acceptance of this Guaranty and the Transaction as well as notice of dishonor and protest to which KeySpan otherwise might be entitled are hereby waived.  The liability of KeySpan hereunder, subject to the exception with respect to the entities identified in paragraph 2 above, shall not be modified in any manner whatsoever by any composition, extensions, moratoria, or other relief granted to the Guaranteed Party pursuant to the U.S. Bankruptcy Code, as amended, or any other federal or state statute presently in force or hereafter enacted. The failure to exercise any of your rights hereunder shall not operate as a waiver hereunder and all of your rights and remedies shall be cumulative and not alternative.</w:t>
      </w:r>
    </w:p>
    <w:p>
      <w:pPr>
        <w:pStyle w:val="Normal"/>
        <w:spacing w:lineRule="exact" w:line="268" w:before="244" w:after="0"/>
        <w:rPr/>
      </w:pPr>
      <w:r>
        <w:rPr/>
        <w:t>This Guaranty shall inure to the benefit of your successors and assigns and be binding upon the successors and assigns of KeySpan.  KeySpan shall not delegate or assign its duties and obligations hereunder without Enron’s consent. This Guaranty shall not apply if the Guaranteed Party's obligation arises pursuant to an assignment of contracts and/or agreements to a non-affiliated entity for which Enron's consent was granted.  This Guaranty supersedes and replaces all prior guarantees given by KeySpan to Enron on behalf of Guaranteed Parties.  This Guaranty shall be governed by the laws of the State of New York.</w:t>
      </w:r>
    </w:p>
    <w:p>
      <w:pPr>
        <w:pStyle w:val="Normal"/>
        <w:spacing w:lineRule="exact" w:line="278"/>
        <w:rPr/>
      </w:pPr>
      <w:r>
        <w:rPr/>
      </w:r>
    </w:p>
    <w:p>
      <w:pPr>
        <w:pStyle w:val="Normal"/>
        <w:spacing w:lineRule="exact" w:line="278"/>
        <w:rPr/>
      </w:pPr>
      <w:r>
        <w:rPr/>
        <w:t>The Guarantor in executing this Guaranty, respects and warrants to Enron that:</w:t>
      </w:r>
    </w:p>
    <w:p>
      <w:pPr>
        <w:pStyle w:val="Normal"/>
        <w:spacing w:lineRule="exact" w:line="278" w:before="230" w:after="0"/>
        <w:rPr/>
      </w:pPr>
      <w:r>
        <w:rPr/>
        <w:t xml:space="preserve">(i) </w:t>
        <w:tab/>
        <w:t xml:space="preserve">       The Guarantor is a legal business entity duly organized and existing in good standing</w:t>
      </w:r>
    </w:p>
    <w:p>
      <w:pPr>
        <w:pStyle w:val="Normal"/>
        <w:spacing w:lineRule="exact" w:line="278" w:before="19" w:after="0"/>
        <w:ind w:firstLine="1152" w:end="0"/>
        <w:rPr/>
      </w:pPr>
      <w:r>
        <w:rPr/>
        <w:t>and has full power and authority to make and deliver this Guaranty;</w:t>
      </w:r>
    </w:p>
    <w:p>
      <w:pPr>
        <w:pStyle w:val="BodyTextIndent2"/>
        <w:rPr/>
      </w:pPr>
      <w:r>
        <w:rPr/>
        <w:t>(ii)</w:t>
        <w:tab/>
        <w:t>The execution, delivery and performance of the Guaranty by the Guarantor has been duly authorized by all necessary action of its principals and does not and will not violate the provisions of, or constitute default under, any presently applicable law or its organizational instruments or any agreement presently binding on it; and</w:t>
      </w:r>
    </w:p>
    <w:p>
      <w:pPr>
        <w:pStyle w:val="Normal"/>
        <w:spacing w:lineRule="exact" w:line="240" w:before="302" w:after="0"/>
        <w:ind w:hanging="1152" w:start="1152" w:end="0"/>
        <w:rPr/>
      </w:pPr>
      <w:r>
        <w:rPr/>
        <w:t>(iii)            This Guaranty has been duly executed and delivered by the authorized officers of the Guarantor and constitutes its lawful, binding and legally enforceable obligation.</w:t>
      </w:r>
    </w:p>
    <w:p>
      <w:pPr>
        <w:pStyle w:val="Normal"/>
        <w:spacing w:lineRule="exact" w:line="854"/>
        <w:rPr/>
      </w:pPr>
      <w:r>
        <w:rPr/>
        <w:t>IN WITNESS WHEREOF, KeySpan has executed this Guaranty the        day of February 2001 KEYSPAN CORPORATION</w:t>
      </w:r>
    </w:p>
    <w:sectPr>
      <w:headerReference w:type="default" r:id="rId2"/>
      <w:footerReference w:type="default" r:id="rId3"/>
      <w:type w:val="nextPage"/>
      <w:pgSz w:w="12240" w:h="15840"/>
      <w:pgMar w:left="864" w:right="864"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675120" cy="350520"/>
              <wp:effectExtent l="0" t="0" r="0" b="0"/>
              <wp:wrapNone/>
              <wp:docPr id="2" name="Frame3"/>
              <a:graphic xmlns:a="http://schemas.openxmlformats.org/drawingml/2006/main">
                <a:graphicData uri="http://schemas.microsoft.com/office/word/2010/wordprocessingShape">
                  <wps:wsp>
                    <wps:cNvSpPr txBox="1"/>
                    <wps:spPr>
                      <a:xfrm>
                        <a:off x="0" y="0"/>
                        <a:ext cx="6675120" cy="350520"/>
                      </a:xfrm>
                      <a:prstGeom prst="rect"/>
                      <a:solidFill>
                        <a:srgbClr val="FFFFFF"/>
                      </a:solidFill>
                    </wps:spPr>
                    <wps:txbx>
                      <w:txbxContent>
                        <w:p>
                          <w:pPr>
                            <w:pStyle w:val="Footer"/>
                            <w:rPr/>
                          </w:pPr>
                          <w:r>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1255389</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QWNX01!.DOC</w:t>
                          </w:r>
                          <w:r>
                            <w:rPr>
                              <w:sz w:val="12"/>
                              <w:rFonts w:cs="Arial" w:ascii="Arial" w:hAnsi="Arial"/>
                            </w:rPr>
                            <w:fldChar w:fldCharType="end"/>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1255389</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QWNX01!.DOC</w:t>
                          </w:r>
                          <w:r>
                            <w:rPr>
                              <w:sz w:val="12"/>
                              <w:rFonts w:cs="Arial" w:ascii="Arial" w:hAnsi="Arial"/>
                            </w:rPr>
                            <w:fldChar w:fldCharType="end"/>
                          </w:r>
                        </w:p>
                      </w:txbxContent>
                    </wps:txbx>
                    <wps:bodyPr anchor="t" lIns="0" tIns="0" rIns="0" bIns="0">
                      <a:noAutofit/>
                    </wps:bodyPr>
                  </wps:wsp>
                </a:graphicData>
              </a:graphic>
            </wp:anchor>
          </w:drawing>
        </mc:Choice>
        <mc:Fallback>
          <w:pict>
            <v:rect style="position:absolute;rotation:-0;width:525.6pt;height:27.6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Footer"/>
                      <w:rPr/>
                    </w:pPr>
                    <w:r>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1255389</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QWNX01!.DOC</w:t>
                    </w:r>
                    <w:r>
                      <w:rPr>
                        <w:sz w:val="12"/>
                        <w:rFonts w:cs="Arial" w:ascii="Arial" w:hAnsi="Arial"/>
                      </w:rPr>
                      <w:fldChar w:fldCharType="end"/>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1255389</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QWNX01!.DOC</w:t>
                    </w:r>
                    <w:r>
                      <w:rPr>
                        <w:sz w:val="12"/>
                        <w:rFonts w:cs="Arial" w:ascii="Arial" w:hAnsi="Arial"/>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6675120" cy="175260"/>
              <wp:effectExtent l="0" t="0" r="0" b="0"/>
              <wp:wrapNone/>
              <wp:docPr id="1" name="Frame4"/>
              <a:graphic xmlns:a="http://schemas.openxmlformats.org/drawingml/2006/main">
                <a:graphicData uri="http://schemas.microsoft.com/office/word/2010/wordprocessingShape">
                  <wps:wsp>
                    <wps:cNvSpPr txBox="1"/>
                    <wps:spPr>
                      <a:xfrm>
                        <a:off x="0" y="0"/>
                        <a:ext cx="6675120" cy="175260"/>
                      </a:xfrm>
                      <a:prstGeom prst="rect"/>
                      <a:solidFill>
                        <a:srgbClr val="FFFFFF"/>
                      </a:solidFill>
                    </wps:spPr>
                    <wps:txbx>
                      <w:txbxContent>
                        <w:p>
                          <w:pPr>
                            <w:pStyle w:val="Header"/>
                            <w:rPr/>
                          </w:pPr>
                          <w:r>
                            <w:rPr/>
                          </w:r>
                        </w:p>
                      </w:txbxContent>
                    </wps:txbx>
                    <wps:bodyPr anchor="t" lIns="0" tIns="0" rIns="0" bIns="0">
                      <a:noAutofit/>
                    </wps:bodyPr>
                  </wps:wsp>
                </a:graphicData>
              </a:graphic>
            </wp:anchor>
          </w:drawing>
        </mc:Choice>
        <mc:Fallback>
          <w:pict>
            <v:rect style="position:absolute;rotation:-0;width:525.6pt;height:13.8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r>
                  </w:p>
                </w:txbxContent>
              </v:textbox>
              <w10:wrap type="none"/>
            </v:rect>
          </w:pict>
        </mc:Fallback>
      </mc:AlternateContent>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lineRule="exact" w:line="259"/>
    </w:pPr>
    <w:rPr>
      <w:lang w:eastAsia="en-US"/>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exact" w:line="268" w:before="240" w:after="0"/>
      <w:ind w:hanging="0" w:start="360" w:end="0"/>
    </w:pPr>
    <w:rPr>
      <w:lang w:eastAsia="en-US"/>
    </w:rPr>
  </w:style>
  <w:style w:type="paragraph" w:styleId="BodyTextIndent2">
    <w:name w:val="Body Text Indent 2"/>
    <w:basedOn w:val="Normal"/>
    <w:qFormat/>
    <w:pPr>
      <w:tabs>
        <w:tab w:val="clear" w:pos="720"/>
        <w:tab w:val="left" w:pos="1170" w:leader="none"/>
      </w:tabs>
      <w:spacing w:lineRule="exact" w:line="278" w:before="254" w:after="0"/>
      <w:ind w:hanging="108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2001-02-15T19:42:00Z</dcterms:created>
  <dc:creator>Susan Mitchell</dc:creator>
  <dc:description/>
  <dc:language>en-CA</dc:language>
  <cp:lastModifiedBy>Daniel Collins</cp:lastModifiedBy>
  <cp:lastPrinted>2001-02-14T14:19:00Z</cp:lastPrinted>
  <dcterms:modified xsi:type="dcterms:W3CDTF">2001-02-15T20:00:00Z</dcterms:modified>
  <cp:revision>3</cp:revision>
  <dc:subject/>
  <dc:title>negm guarantee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QWNX01!.DOC</vt:lpwstr>
  </property>
  <property fmtid="{D5CDD505-2E9C-101B-9397-08002B2CF9AE}" pid="3" name="DOCSDocVer">
    <vt:lpwstr>1</vt:lpwstr>
  </property>
  <property fmtid="{D5CDD505-2E9C-101B-9397-08002B2CF9AE}" pid="4" name="DOCSNumber">
    <vt:lpwstr>1255389</vt:lpwstr>
  </property>
</Properties>
</file>