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t>December 20, 2001</w:t>
      </w:r>
    </w:p>
    <w:p>
      <w:pPr>
        <w:pStyle w:val="Normal"/>
        <w:rPr>
          <w:sz w:val="20"/>
        </w:rPr>
      </w:pPr>
      <w:r>
        <w:rPr>
          <w:sz w:val="20"/>
        </w:rPr>
      </w:r>
    </w:p>
    <w:p>
      <w:pPr>
        <w:pStyle w:val="Normal"/>
        <w:rPr>
          <w:sz w:val="20"/>
        </w:rPr>
      </w:pPr>
      <w:r>
        <w:rPr>
          <w:sz w:val="20"/>
        </w:rPr>
        <w:t>Mr. Charles Daverio</w:t>
      </w:r>
    </w:p>
    <w:p>
      <w:pPr>
        <w:pStyle w:val="Normal"/>
        <w:rPr>
          <w:sz w:val="20"/>
        </w:rPr>
      </w:pPr>
      <w:r>
        <w:rPr>
          <w:sz w:val="20"/>
        </w:rPr>
        <w:t>KeySpan Energy</w:t>
      </w:r>
    </w:p>
    <w:p>
      <w:pPr>
        <w:pStyle w:val="Normal"/>
        <w:rPr>
          <w:sz w:val="20"/>
        </w:rPr>
      </w:pPr>
      <w:r>
        <w:rPr>
          <w:sz w:val="20"/>
        </w:rPr>
        <w:t>175 East Old Country Road</w:t>
      </w:r>
    </w:p>
    <w:p>
      <w:pPr>
        <w:pStyle w:val="Normal"/>
        <w:rPr>
          <w:sz w:val="20"/>
        </w:rPr>
      </w:pPr>
      <w:r>
        <w:rPr>
          <w:sz w:val="20"/>
        </w:rPr>
        <w:t>Hicksville, New York 11801-4280</w:t>
      </w:r>
    </w:p>
    <w:p>
      <w:pPr>
        <w:pStyle w:val="Normal"/>
        <w:rPr>
          <w:sz w:val="20"/>
        </w:rPr>
      </w:pPr>
      <w:r>
        <w:rPr>
          <w:sz w:val="20"/>
        </w:rPr>
      </w:r>
    </w:p>
    <w:p>
      <w:pPr>
        <w:pStyle w:val="Normal"/>
        <w:rPr>
          <w:sz w:val="20"/>
        </w:rPr>
      </w:pPr>
      <w:r>
        <w:rPr>
          <w:sz w:val="20"/>
        </w:rPr>
        <w:t>Re: Master Purchase/Sale Agreement Between Enron Power Services, Inc. and KeySpan Gas East Corporation d/b/a KeySpan Energy Delivery Long Island as successor in interest to Long Island Lighting Company (“KED-LI”),  Dated September 1, 1993 (the “Agreement”).</w:t>
      </w:r>
    </w:p>
    <w:p>
      <w:pPr>
        <w:pStyle w:val="Normal"/>
        <w:rPr>
          <w:sz w:val="20"/>
        </w:rPr>
      </w:pPr>
      <w:r>
        <w:rPr>
          <w:sz w:val="20"/>
        </w:rPr>
      </w:r>
    </w:p>
    <w:p>
      <w:pPr>
        <w:pStyle w:val="Normal"/>
        <w:rPr>
          <w:sz w:val="20"/>
        </w:rPr>
      </w:pPr>
      <w:r>
        <w:rPr>
          <w:sz w:val="20"/>
        </w:rPr>
        <w:t>Dear Chuck:</w:t>
      </w:r>
    </w:p>
    <w:p>
      <w:pPr>
        <w:pStyle w:val="Normal"/>
        <w:rPr>
          <w:sz w:val="20"/>
        </w:rPr>
      </w:pPr>
      <w:r>
        <w:rPr>
          <w:sz w:val="20"/>
        </w:rPr>
      </w:r>
    </w:p>
    <w:p>
      <w:pPr>
        <w:pStyle w:val="Normal"/>
        <w:rPr>
          <w:sz w:val="20"/>
        </w:rPr>
      </w:pPr>
      <w:r>
        <w:rPr>
          <w:sz w:val="20"/>
        </w:rPr>
        <w:t>Pursuant to the above referenced Agreement and your November 30, 2001 notice of a “Triggering Event” the parties have 30 days to negotiate a plan for the cure of the Triggering Event.</w:t>
      </w:r>
    </w:p>
    <w:p>
      <w:pPr>
        <w:pStyle w:val="Normal"/>
        <w:rPr>
          <w:sz w:val="20"/>
        </w:rPr>
      </w:pPr>
      <w:r>
        <w:rPr>
          <w:sz w:val="20"/>
        </w:rPr>
        <w:t>Through a program of pre-paying for gas supplies Enron is able and willing to recommence deliveries under the referenced agreement to cure the identified “Triggering Event”.  As KeySpan will receive deliveries in advance of payment, KeySpan will not be exposed to paying for volumes that are not subsequently delivered.  In addition, if another “Triggering Event” occurs KeySpan remains protected under the current contract terms and conditions.  KeySpan may become exposed to Seller’s failure to delivery and the creation of a Seller’s Deficiency Quantity as defined in the Agreement.  To resolve any exposure to that situation Enron proposes to modify the Agreement to include a collateral requirement section that allows the parties to request the other Party to establish a Letter of Credit covering such identified exposure. The intent would be that each party would be protected for the creation of a positive amount due as a result of a Seller’s/Buyer’s Deficiency Quantity as well as a positive Liquidated Damages amount due.  Please contact me as soon as possible to inform me of your willingness to pursue this direction as a means to resolving the identified “Triggering Event”.</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2001-12-20T15:31:00Z</dcterms:created>
  <dc:creator>fvicker</dc:creator>
  <dc:description/>
  <dc:language>en-CA</dc:language>
  <cp:lastModifiedBy>fvicker</cp:lastModifiedBy>
  <dcterms:modified xsi:type="dcterms:W3CDTF">2001-12-20T16:30:00Z</dcterms:modified>
  <cp:revision>1</cp:revision>
  <dc:subject/>
  <dc:title>December 20, 2001</dc:title>
</cp:coreProperties>
</file>