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outlineLvl w:val="0"/>
        <w:rPr/>
      </w:pPr>
      <w:r>
        <w:rPr>
          <w:sz w:val="20"/>
        </w:rPr>
        <w:t xml:space="preserve">1100 Bering Drive # 414  </w:t>
      </w:r>
      <w:r>
        <w:rPr>
          <w:rFonts w:eastAsia="Symbol" w:cs="Symbol" w:ascii="Symbol" w:hAnsi="Symbol"/>
          <w:sz w:val="20"/>
        </w:rPr>
        <w:sym w:font="Symbol" w:char="f0a8"/>
      </w:r>
      <w:r>
        <w:rPr>
          <w:sz w:val="20"/>
        </w:rPr>
        <w:t xml:space="preserve">  Houston, Texas  77057  </w:t>
      </w:r>
      <w:r>
        <w:rPr>
          <w:rFonts w:eastAsia="Symbol" w:cs="Symbol" w:ascii="Symbol" w:hAnsi="Symbol"/>
          <w:sz w:val="20"/>
        </w:rPr>
        <w:sym w:font="Symbol" w:char="f0a8"/>
      </w:r>
      <w:r>
        <w:rPr>
          <w:sz w:val="20"/>
        </w:rPr>
        <w:t xml:space="preserve">  713 / 784 – 4740</w:t>
      </w:r>
    </w:p>
    <w:p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8460"/>
      </w:tblGrid>
      <w:tr>
        <w:trPr/>
        <w:tc>
          <w:tcPr>
            <w:tcW w:w="16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OBJECTIVE</w:t>
            </w:r>
          </w:p>
        </w:tc>
        <w:tc>
          <w:tcPr>
            <w:tcW w:w="8460" w:type="dxa"/>
            <w:tcBorders>
              <w:bottom w:val="single" w:sz="12" w:space="0" w:color="000000"/>
            </w:tcBorders>
          </w:tcPr>
          <w:p>
            <w:pPr>
              <w:pStyle w:val="Normal"/>
              <w:ind w:start="342" w:end="0"/>
              <w:jc w:val="both"/>
              <w:rPr/>
            </w:pPr>
            <w:r>
              <w:rPr>
                <w:b/>
                <w:sz w:val="22"/>
              </w:rPr>
              <w:t>Power Trading position</w:t>
            </w:r>
            <w:r>
              <w:rPr>
                <w:sz w:val="22"/>
              </w:rPr>
              <w:t xml:space="preserve"> offering opportunities for professional growth and advancement in the energy marketing industry.</w:t>
            </w:r>
          </w:p>
          <w:p>
            <w:pPr>
              <w:pStyle w:val="Normal"/>
              <w:ind w:start="342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44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PROFILE</w:t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BBA graduate with experience </w:t>
            </w:r>
            <w:r>
              <w:rPr>
                <w:sz w:val="22"/>
              </w:rPr>
              <w:t>in marketing, accounting, negotiations, and client service in the Energy industry.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Excellent communication and interpersonal skills</w:t>
            </w:r>
            <w:r>
              <w:rPr>
                <w:sz w:val="22"/>
              </w:rPr>
              <w:t xml:space="preserve"> developed in a corporate environment. Innovative and solution oriented professional with excellent team and customer service skills.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8460" w:type="dxa"/>
            <w:tcBorders>
              <w:bottom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Computer Literate:</w:t>
            </w:r>
            <w:r>
              <w:rPr>
                <w:sz w:val="22"/>
              </w:rPr>
              <w:t xml:space="preserve"> Skilled in the use of Excel, Access, Lotus 1-2-3, Powerpoint, Word, as well as other business related software.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EDUCATION</w:t>
            </w:r>
          </w:p>
        </w:tc>
        <w:tc>
          <w:tcPr>
            <w:tcW w:w="8460" w:type="dxa"/>
            <w:tcBorders/>
          </w:tcPr>
          <w:p>
            <w:pPr>
              <w:pStyle w:val="Normal"/>
              <w:ind w:start="342" w:end="0"/>
              <w:jc w:val="both"/>
              <w:rPr/>
            </w:pPr>
            <w:r>
              <w:rPr>
                <w:i/>
                <w:sz w:val="22"/>
              </w:rPr>
              <w:t>University of Houston</w:t>
            </w:r>
            <w:r>
              <w:rPr>
                <w:sz w:val="22"/>
              </w:rPr>
              <w:t>; Houston, Texas                                                        Summer - 2001</w:t>
            </w:r>
          </w:p>
          <w:p>
            <w:pPr>
              <w:pStyle w:val="Heading1"/>
              <w:jc w:val="both"/>
              <w:rPr>
                <w:b w:val="false"/>
                <w:sz w:val="22"/>
              </w:rPr>
            </w:pPr>
            <w:r>
              <w:rPr>
                <w:sz w:val="22"/>
              </w:rPr>
              <w:t xml:space="preserve">Bachelor of Business Administration, Finance  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snapToGrid w:val="false"/>
              <w:ind w:start="342" w:end="0"/>
              <w:jc w:val="both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ind w:start="342" w:end="0"/>
              <w:jc w:val="both"/>
              <w:rPr/>
            </w:pPr>
            <w:r>
              <w:rPr>
                <w:i/>
                <w:sz w:val="22"/>
              </w:rPr>
              <w:t>University of Houston</w:t>
            </w:r>
            <w:r>
              <w:rPr>
                <w:sz w:val="22"/>
              </w:rPr>
              <w:t>; Houston, Texas                                                     December - 1998</w:t>
            </w:r>
          </w:p>
          <w:p>
            <w:pPr>
              <w:pStyle w:val="Heading1"/>
              <w:jc w:val="both"/>
              <w:rPr>
                <w:b w:val="false"/>
                <w:sz w:val="22"/>
              </w:rPr>
            </w:pPr>
            <w:r>
              <w:rPr>
                <w:sz w:val="22"/>
              </w:rPr>
              <w:t>Bachelor of Business Administration, Marketing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846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EXPERIENCE</w:t>
            </w:r>
          </w:p>
        </w:tc>
        <w:tc>
          <w:tcPr>
            <w:tcW w:w="8460" w:type="dxa"/>
            <w:tcBorders/>
          </w:tcPr>
          <w:p>
            <w:pPr>
              <w:pStyle w:val="CompanyNameOne"/>
              <w:tabs>
                <w:tab w:val="clear" w:pos="1440"/>
                <w:tab w:val="clear" w:pos="6480"/>
                <w:tab w:val="right" w:pos="-12412" w:leader="none"/>
                <w:tab w:val="left" w:pos="2290" w:leader="none"/>
                <w:tab w:val="right" w:pos="7636" w:leader="none"/>
              </w:tabs>
              <w:spacing w:before="0" w:after="0"/>
              <w:rPr/>
            </w:pPr>
            <w:r>
              <w:rPr>
                <w:rFonts w:eastAsia="Garamond"/>
                <w:i/>
                <w:sz w:val="23"/>
              </w:rPr>
              <w:t xml:space="preserve">     </w:t>
            </w:r>
            <w:r>
              <w:rPr>
                <w:i/>
                <w:sz w:val="23"/>
              </w:rPr>
              <w:t>Duke-Energy Trading &amp; Marketing</w:t>
            </w:r>
            <w:r>
              <w:rPr>
                <w:sz w:val="23"/>
              </w:rPr>
              <w:t xml:space="preserve">;  Houston, Texas                     </w:t>
            </w:r>
          </w:p>
          <w:p>
            <w:pPr>
              <w:pStyle w:val="Normal"/>
              <w:ind w:start="342" w:end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REAL-TIME POWER TRADER</w:t>
            </w:r>
            <w:r>
              <w:rPr>
                <w:sz w:val="23"/>
              </w:rPr>
              <w:t xml:space="preserve">    January 2001 -  April 2001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2"/>
              <w:snapToGrid w:val="false"/>
              <w:ind w:end="-108"/>
              <w:jc w:val="both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jc w:val="both"/>
              <w:rPr>
                <w:sz w:val="22"/>
              </w:rPr>
            </w:pPr>
            <w:r>
              <w:rPr/>
              <w:t>Prepares, communicates and documents pre-schedules and real time schedules for electric purchases, sales, and exchange transactions, including real-time schedule cuts.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1"/>
              </w:rPr>
              <w:t>Maintains hourly pricing database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jc w:val="both"/>
              <w:rPr>
                <w:sz w:val="22"/>
              </w:rPr>
            </w:pPr>
            <w:r>
              <w:rPr>
                <w:sz w:val="21"/>
              </w:rPr>
              <w:t>Manages load for customers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2"/>
              </w:rPr>
            </w:pPr>
            <w:r>
              <w:rPr>
                <w:sz w:val="21"/>
              </w:rPr>
              <w:t>Receives and communicates dispatch  orders from ISO to specified plants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1"/>
              </w:rPr>
            </w:pPr>
            <w:r>
              <w:rPr>
                <w:sz w:val="21"/>
              </w:rPr>
              <w:t>Coordinates certain dispatch information and maintenance activities for company-controlled generation units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1"/>
              </w:rPr>
            </w:pPr>
            <w:r>
              <w:rPr>
                <w:sz w:val="21"/>
              </w:rPr>
              <w:t>Arranges transmission across one or multiple control areas in SERC, SPP, ECAR, FRCC, etc.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1"/>
              </w:rPr>
            </w:pPr>
            <w:r>
              <w:rPr>
                <w:sz w:val="21"/>
              </w:rPr>
              <w:t>Assists in the integration of gas and power  trading businesses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1"/>
              </w:rPr>
            </w:pPr>
            <w:r>
              <w:rPr>
                <w:sz w:val="21"/>
              </w:rPr>
              <w:t>Dispatch generation units according to market conditions</w:t>
            </w:r>
          </w:p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1"/>
              </w:rPr>
            </w:pPr>
            <w:r>
              <w:rPr>
                <w:sz w:val="21"/>
              </w:rPr>
              <w:t>Assist pre-schedulers and forward traders as necessary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snapToGrid w:val="false"/>
              <w:ind w:start="342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ind w:start="342" w:end="0"/>
              <w:jc w:val="both"/>
              <w:rPr/>
            </w:pPr>
            <w:r>
              <w:rPr>
                <w:i/>
                <w:sz w:val="22"/>
              </w:rPr>
              <w:t>KCS Energy Services, Inc.;</w:t>
            </w:r>
            <w:r>
              <w:rPr>
                <w:sz w:val="22"/>
              </w:rPr>
              <w:t xml:space="preserve"> Houston, Texas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2"/>
              <w:ind w:end="-108"/>
              <w:jc w:val="both"/>
              <w:rPr/>
            </w:pPr>
            <w:r>
              <w:rPr>
                <w:sz w:val="22"/>
              </w:rPr>
              <w:t xml:space="preserve">ENERGY SERVICES REPRESENTATIVE     </w:t>
            </w:r>
            <w:r>
              <w:rPr>
                <w:b w:val="false"/>
                <w:sz w:val="22"/>
              </w:rPr>
              <w:t>February 2000 - May 2000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Economically manage volumes for existing production points – includes trading and scheduling volumes for the Gulf Coast region.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Examine and negotiate transportation options for new and existing production points.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Perform risk management function by gathering and managing NYMEX information for a natural gas hedging model. Market signals are evaluated and reported to the options trader as well as company officers.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Responsible for pipeline reconciliation and related gas accounting. </w:t>
            </w:r>
          </w:p>
        </w:tc>
      </w:tr>
      <w:tr>
        <w:trPr>
          <w:trHeight w:val="100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snapToGrid w:val="false"/>
              <w:jc w:val="both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jc w:val="both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</w:p>
          <w:p>
            <w:pPr>
              <w:pStyle w:val="Normal"/>
              <w:jc w:val="both"/>
              <w:rPr/>
            </w:pPr>
            <w:r>
              <w:rPr>
                <w:i/>
                <w:sz w:val="22"/>
              </w:rPr>
              <w:t xml:space="preserve">      </w:t>
            </w:r>
            <w:r>
              <w:rPr>
                <w:i/>
                <w:sz w:val="22"/>
              </w:rPr>
              <w:t>KCS Energy Services, Inc.;</w:t>
            </w:r>
            <w:r>
              <w:rPr>
                <w:sz w:val="22"/>
              </w:rPr>
              <w:t xml:space="preserve"> Houston, Texas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2"/>
              <w:ind w:end="-108"/>
              <w:jc w:val="both"/>
              <w:rPr/>
            </w:pPr>
            <w:r>
              <w:rPr>
                <w:sz w:val="22"/>
              </w:rPr>
              <w:t xml:space="preserve">GAS VOLUME ANALYST     </w:t>
            </w:r>
            <w:r>
              <w:rPr>
                <w:b w:val="false"/>
                <w:sz w:val="22"/>
              </w:rPr>
              <w:t>June 1998 – January 2000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Monitor flow rates of twenty-three production points and schedule volumes on eight separate pipelines in the Gulf Coast region.</w:t>
            </w:r>
          </w:p>
          <w:p>
            <w:pPr>
              <w:pStyle w:val="Normal"/>
              <w:numPr>
                <w:ilvl w:val="0"/>
                <w:numId w:val="5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Perform risk management function by gathering and managing NYMEX information for a natural gas hedging model. Market signals are reported to the financial trader as well as company officers.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3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Assist with physical gas trading, gas accounting, and allocations.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3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snapToGrid w:val="false"/>
              <w:jc w:val="both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3"/>
              <w:snapToGrid w:val="false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i/>
                <w:sz w:val="22"/>
              </w:rPr>
              <w:t xml:space="preserve">      </w:t>
            </w:r>
            <w:r>
              <w:rPr>
                <w:i/>
                <w:sz w:val="22"/>
              </w:rPr>
              <w:t>KCS Energy Services, Inc.;</w:t>
            </w:r>
            <w:r>
              <w:rPr>
                <w:sz w:val="22"/>
              </w:rPr>
              <w:t xml:space="preserve"> Houston, Texas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3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ind w:start="342" w:end="0"/>
              <w:jc w:val="both"/>
              <w:rPr/>
            </w:pPr>
            <w:r>
              <w:rPr>
                <w:b/>
                <w:sz w:val="22"/>
              </w:rPr>
              <w:t>NATURAL GAS OPERATIONS INTERN</w:t>
            </w:r>
            <w:r>
              <w:rPr>
                <w:sz w:val="22"/>
              </w:rPr>
              <w:t xml:space="preserve">    September 1997 – May 1998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>
              <w:bottom w:val="single" w:sz="12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Assist the director of operations with daily gas allocations and scheduling.</w:t>
            </w:r>
          </w:p>
          <w:p>
            <w:pPr>
              <w:pStyle w:val="Normal"/>
              <w:numPr>
                <w:ilvl w:val="0"/>
                <w:numId w:val="8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Deal validation  and confirmation.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REFERENCES</w:t>
            </w:r>
          </w:p>
        </w:tc>
        <w:tc>
          <w:tcPr>
            <w:tcW w:w="8460" w:type="dxa"/>
            <w:tcBorders/>
          </w:tcPr>
          <w:p>
            <w:pPr>
              <w:pStyle w:val="Heading4"/>
              <w:jc w:val="both"/>
              <w:rPr>
                <w:sz w:val="22"/>
              </w:rPr>
            </w:pPr>
            <w:r>
              <w:rPr>
                <w:sz w:val="22"/>
              </w:rPr>
              <w:t>Provided upon request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4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0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4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3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4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3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4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3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4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3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4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3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4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3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4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3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4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3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8460" w:type="dxa"/>
            <w:tcBorders/>
          </w:tcPr>
          <w:p>
            <w:pPr>
              <w:pStyle w:val="Heading4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type w:val="nextPage"/>
      <w:pgSz w:w="12240" w:h="15840"/>
      <w:pgMar w:left="1080" w:right="1166" w:gutter="0" w:header="720" w:top="144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double" w:sz="6" w:space="1" w:color="000000"/>
      </w:pBdr>
      <w:jc w:val="center"/>
      <w:rPr>
        <w:b/>
        <w:sz w:val="36"/>
      </w:rPr>
    </w:pPr>
    <w:r>
      <w:rPr>
        <w:b/>
        <w:sz w:val="36"/>
      </w:rPr>
      <w:t>Kevin M. McLarney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42" w:end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42" w:end="792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0" w:end="-18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342" w:end="0"/>
      <w:outlineLvl w:val="3"/>
    </w:pPr>
    <w:rPr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St17z0">
    <w:name w:val="WW8NumSt17z0"/>
    <w:qFormat/>
    <w:rPr>
      <w:rFonts w:ascii="Wingdings" w:hAnsi="Wingdings" w:cs="Wingdings"/>
      <w:sz w:val="1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10"/>
      </w:numPr>
      <w:spacing w:lineRule="atLeast" w:line="240" w:before="0" w:after="60"/>
      <w:jc w:val="both"/>
    </w:pPr>
    <w:rPr>
      <w:rFonts w:ascii="Garamond" w:hAnsi="Garamond" w:cs="Garamond"/>
      <w:sz w:val="22"/>
    </w:rPr>
  </w:style>
  <w:style w:type="paragraph" w:styleId="CompanyNameOne">
    <w:name w:val="Company Name On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</w:pPr>
    <w:rPr>
      <w:rFonts w:ascii="Garamond" w:hAnsi="Garamond" w:cs="Garamond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2001-05-16T17:04:00Z</dcterms:created>
  <dc:creator>F. Ed McLarney</dc:creator>
  <dc:description/>
  <dc:language>en-CA</dc:language>
  <cp:lastModifiedBy>ldelgado</cp:lastModifiedBy>
  <cp:lastPrinted>2001-05-16T14:33:00Z</cp:lastPrinted>
  <dcterms:modified xsi:type="dcterms:W3CDTF">2001-05-16T17:04:00Z</dcterms:modified>
  <cp:revision>2</cp:revision>
  <dc:subject/>
  <dc:title>1100 Bering Drive # 414    Houston, Texas  77057    713 / 784 – 4740</dc:title>
</cp:coreProperties>
</file>