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Kevin C. Simmons</w:t>
      </w:r>
    </w:p>
    <w:p>
      <w:pPr>
        <w:pStyle w:val="Subtitle"/>
        <w:rPr>
          <w:sz w:val="16"/>
        </w:rPr>
      </w:pPr>
      <w:r>
        <w:rPr>
          <w:sz w:val="16"/>
        </w:rPr>
        <w:t>35 Dewdrift Place</w:t>
      </w:r>
    </w:p>
    <w:tbl>
      <w:tblPr>
        <w:tblW w:w="102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432"/>
        <w:gridCol w:w="4236"/>
        <w:gridCol w:w="2610"/>
      </w:tblGrid>
      <w:tr>
        <w:trPr/>
        <w:tc>
          <w:tcPr>
            <w:tcW w:w="3432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Ksimmons95@peoplepc.com</w:t>
            </w:r>
          </w:p>
        </w:tc>
        <w:tc>
          <w:tcPr>
            <w:tcW w:w="4236" w:type="dxa"/>
            <w:tcBorders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The Woodlands, TX 77382</w:t>
            </w:r>
          </w:p>
        </w:tc>
        <w:tc>
          <w:tcPr>
            <w:tcW w:w="2610" w:type="dxa"/>
            <w:tcBorders/>
          </w:tcPr>
          <w:p>
            <w:pPr>
              <w:pStyle w:val="Normal"/>
              <w:jc w:val="end"/>
              <w:rPr>
                <w:b/>
              </w:rPr>
            </w:pPr>
            <w:r>
              <w:rPr>
                <w:b/>
              </w:rPr>
              <w:t>Home(281)298-7132</w:t>
            </w:r>
          </w:p>
        </w:tc>
      </w:tr>
    </w:tbl>
    <w:p>
      <w:pPr>
        <w:pStyle w:val="Normal"/>
        <w:rPr>
          <w:b/>
          <w:sz w:val="16"/>
          <w:lang w:val="en-CA" w:eastAsia="en-CA"/>
        </w:rPr>
      </w:pPr>
      <w:r>
        <w:rPr>
          <w:b/>
          <w:sz w:val="16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101600</wp:posOffset>
                </wp:positionV>
                <wp:extent cx="6492240" cy="0"/>
                <wp:effectExtent l="0" t="5080" r="0" b="508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8pt" to="511.15pt,8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b/>
          <w:smallCaps/>
        </w:rPr>
      </w:pPr>
      <w:r>
        <w:rPr>
          <w:b/>
          <w:smallCaps/>
        </w:rPr>
        <w:t>Experience</w:t>
      </w:r>
    </w:p>
    <w:p>
      <w:pPr>
        <w:pStyle w:val="Normal"/>
        <w:rPr>
          <w:sz w:val="20"/>
        </w:rPr>
      </w:pPr>
      <w:r>
        <w:rPr>
          <w:sz w:val="20"/>
        </w:rPr>
        <w:t>March ’00 - present</w:t>
        <w:tab/>
      </w:r>
      <w:r>
        <w:rPr>
          <w:b/>
          <w:smallCaps/>
        </w:rPr>
        <w:t xml:space="preserve">Entergy Power Group </w:t>
      </w:r>
      <w:r>
        <w:rPr>
          <w:smallCaps/>
        </w:rPr>
        <w:t>(</w:t>
      </w:r>
      <w:r>
        <w:rPr>
          <w:i/>
        </w:rPr>
        <w:t>NYSE: ETR</w:t>
      </w:r>
      <w:r>
        <w:rPr>
          <w:smallCaps/>
        </w:rPr>
        <w:t>)</w:t>
        <w:tab/>
      </w:r>
      <w:r>
        <w:rPr>
          <w:b/>
          <w:smallCaps/>
          <w:sz w:val="20"/>
        </w:rPr>
        <w:t>The Woodlands, TX</w:t>
      </w:r>
    </w:p>
    <w:p>
      <w:pPr>
        <w:pStyle w:val="Normal"/>
        <w:rPr/>
      </w:pPr>
      <w:r>
        <w:rPr>
          <w:sz w:val="20"/>
        </w:rPr>
        <w:tab/>
        <w:tab/>
        <w:tab/>
      </w:r>
      <w:r>
        <w:rPr>
          <w:i/>
          <w:sz w:val="20"/>
          <w:u w:val="single"/>
        </w:rPr>
        <w:t>Director-Business Development.</w:t>
      </w:r>
      <w:r>
        <w:rPr>
          <w:sz w:val="20"/>
        </w:rPr>
        <w:t xml:space="preserve"> North America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ind w:hanging="360" w:start="2520" w:end="0"/>
        <w:rPr>
          <w:sz w:val="20"/>
        </w:rPr>
      </w:pPr>
      <w:r>
        <w:rPr>
          <w:sz w:val="20"/>
        </w:rPr>
        <w:t>Developed 640 MW gas-fired Peaking Plant in Jackson, Ohio, representing a $290 million dollar equity investment for Entergy Corp.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ind w:hanging="360" w:start="2520" w:end="0"/>
        <w:rPr>
          <w:sz w:val="20"/>
        </w:rPr>
      </w:pPr>
      <w:r>
        <w:rPr>
          <w:sz w:val="20"/>
        </w:rPr>
        <w:t>Lead commercial negotiations on all Project related contracts including site control, fuel supply, water supply, transmission interconnect, tax abatement and right-of-way.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ind w:hanging="360" w:start="2520" w:end="0"/>
        <w:rPr>
          <w:sz w:val="20"/>
        </w:rPr>
      </w:pPr>
      <w:r>
        <w:rPr>
          <w:sz w:val="20"/>
        </w:rPr>
        <w:t>Oversee and direct a group of 15 professionals representing the various disciplines needed to achieve completion of the development process.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ind w:hanging="360" w:start="2520" w:end="0"/>
        <w:rPr>
          <w:sz w:val="20"/>
        </w:rPr>
      </w:pPr>
      <w:r>
        <w:rPr>
          <w:sz w:val="20"/>
        </w:rPr>
        <w:t>Lead various acquisition teams through bidding and due diligence process on additional generation projects, both under development, as well as existing operations.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ind w:hanging="360" w:start="2520" w:end="0"/>
        <w:rPr>
          <w:sz w:val="20"/>
        </w:rPr>
      </w:pPr>
      <w:r>
        <w:rPr>
          <w:sz w:val="20"/>
        </w:rPr>
        <w:t>Currently develping a 300 MW gas-fired Peaking Plant in Westchester County, New York at an existing Nuclear facility, representing a $190 million dollar equity investment for Entergy Corp.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ind w:hanging="360" w:start="2520" w:end="0"/>
        <w:rPr>
          <w:sz w:val="20"/>
        </w:rPr>
      </w:pPr>
      <w:r>
        <w:rPr>
          <w:sz w:val="20"/>
        </w:rPr>
        <w:t xml:space="preserve">Participate in Annual Performance Review Committee for all mid-level and support staff. 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b/>
          <w:smallCaps/>
        </w:rPr>
      </w:pPr>
      <w:r>
        <w:rPr>
          <w:sz w:val="20"/>
        </w:rPr>
        <w:t>June ‘97 – Feb. ‘00</w:t>
        <w:tab/>
      </w:r>
      <w:r>
        <w:rPr>
          <w:b/>
          <w:smallCaps/>
        </w:rPr>
        <w:t xml:space="preserve">Enron North America </w:t>
      </w:r>
      <w:r>
        <w:rPr>
          <w:smallCaps/>
        </w:rPr>
        <w:t>(</w:t>
      </w:r>
      <w:r>
        <w:rPr>
          <w:i/>
        </w:rPr>
        <w:t>NYSE: ENE</w:t>
      </w:r>
      <w:r>
        <w:rPr>
          <w:smallCaps/>
        </w:rPr>
        <w:t>)</w:t>
      </w:r>
      <w:r>
        <w:rPr>
          <w:b/>
          <w:smallCaps/>
        </w:rPr>
        <w:tab/>
      </w:r>
      <w:r>
        <w:rPr>
          <w:b/>
          <w:smallCaps/>
          <w:sz w:val="20"/>
        </w:rPr>
        <w:t>Portland, OR</w:t>
      </w:r>
    </w:p>
    <w:p>
      <w:pPr>
        <w:pStyle w:val="Normal"/>
        <w:ind w:hanging="2160" w:start="2160" w:end="0"/>
        <w:rPr/>
      </w:pPr>
      <w:r>
        <w:rPr>
          <w:sz w:val="20"/>
        </w:rPr>
        <w:tab/>
      </w:r>
      <w:r>
        <w:rPr>
          <w:i/>
          <w:sz w:val="20"/>
          <w:u w:val="single"/>
        </w:rPr>
        <w:t>Director-Business Development.</w:t>
      </w:r>
      <w:r>
        <w:rPr>
          <w:sz w:val="20"/>
        </w:rPr>
        <w:t xml:space="preserve"> Western Origination. (Promotion to Director effective 1/99)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520" w:leader="none"/>
        </w:tabs>
        <w:rPr>
          <w:smallCaps/>
          <w:sz w:val="20"/>
        </w:rPr>
      </w:pPr>
      <w:r>
        <w:rPr>
          <w:sz w:val="20"/>
        </w:rPr>
        <w:t>Developed relationships with IOU’s, Industrial’s, Muni’s and IPP’s within the 11 Western states.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520" w:leader="none"/>
        </w:tabs>
        <w:rPr>
          <w:smallCaps/>
          <w:sz w:val="20"/>
        </w:rPr>
      </w:pPr>
      <w:r>
        <w:rPr>
          <w:sz w:val="20"/>
        </w:rPr>
        <w:t>Assessed development of greenfield generation opportunities in the West.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520" w:leader="none"/>
        </w:tabs>
        <w:rPr>
          <w:smallCaps/>
          <w:sz w:val="20"/>
        </w:rPr>
      </w:pPr>
      <w:r>
        <w:rPr>
          <w:sz w:val="20"/>
        </w:rPr>
        <w:t>Originated custom products both physical (gas,coal &amp; power), as well as financial (capital &amp; risk management) to serve clients energy-based needs in both a regulated and de-regulated environment.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520" w:leader="none"/>
        </w:tabs>
        <w:rPr>
          <w:smallCaps/>
          <w:sz w:val="20"/>
        </w:rPr>
      </w:pPr>
      <w:r>
        <w:rPr>
          <w:sz w:val="20"/>
        </w:rPr>
        <w:t>Managed team members in “cradle to grave” evaluation and negotiation of asset acquisitions at the project level.</w:t>
      </w:r>
    </w:p>
    <w:p>
      <w:pPr>
        <w:pStyle w:val="Normal"/>
        <w:rPr>
          <w:smallCaps/>
          <w:sz w:val="16"/>
        </w:rPr>
      </w:pPr>
      <w:r>
        <w:rPr>
          <w:sz w:val="20"/>
        </w:rPr>
        <w:t xml:space="preserve"> </w:t>
      </w:r>
    </w:p>
    <w:p>
      <w:pPr>
        <w:pStyle w:val="Normal"/>
        <w:rPr/>
      </w:pPr>
      <w:r>
        <w:rPr>
          <w:sz w:val="20"/>
        </w:rPr>
        <w:t>June ’96 – May ‘97</w:t>
        <w:tab/>
      </w:r>
      <w:r>
        <w:rPr>
          <w:b/>
          <w:smallCaps/>
        </w:rPr>
        <w:t>Enron International</w:t>
        <w:tab/>
        <w:tab/>
        <w:tab/>
      </w:r>
      <w:r>
        <w:rPr>
          <w:b/>
          <w:smallCaps/>
          <w:sz w:val="20"/>
        </w:rPr>
        <w:t>Singapore</w:t>
      </w:r>
    </w:p>
    <w:p>
      <w:pPr>
        <w:pStyle w:val="Normal"/>
        <w:ind w:start="2160" w:end="0"/>
        <w:rPr/>
      </w:pPr>
      <w:r>
        <w:rPr>
          <w:i/>
          <w:sz w:val="20"/>
          <w:u w:val="single"/>
        </w:rPr>
        <w:t>Manager.</w:t>
      </w:r>
      <w:r>
        <w:rPr>
          <w:sz w:val="20"/>
        </w:rPr>
        <w:t xml:space="preserve"> Joint Venture Management-Asian Region </w:t>
      </w:r>
    </w:p>
    <w:p>
      <w:pPr>
        <w:pStyle w:val="Normal"/>
        <w:numPr>
          <w:ilvl w:val="0"/>
          <w:numId w:val="4"/>
        </w:numPr>
        <w:rPr>
          <w:sz w:val="20"/>
        </w:rPr>
      </w:pPr>
      <w:r>
        <w:rPr>
          <w:sz w:val="20"/>
        </w:rPr>
        <w:t>Assisted owner in development/acquisition process; identify risks and costs associated with operation and maintenance.</w:t>
      </w:r>
    </w:p>
    <w:p>
      <w:pPr>
        <w:pStyle w:val="Normal"/>
        <w:numPr>
          <w:ilvl w:val="0"/>
          <w:numId w:val="4"/>
        </w:numPr>
        <w:rPr>
          <w:sz w:val="20"/>
        </w:rPr>
      </w:pPr>
      <w:r>
        <w:rPr>
          <w:sz w:val="20"/>
        </w:rPr>
        <w:t>Facilitate progression from development into commercial operation.</w:t>
      </w:r>
    </w:p>
    <w:p>
      <w:pPr>
        <w:pStyle w:val="Normal"/>
        <w:numPr>
          <w:ilvl w:val="0"/>
          <w:numId w:val="4"/>
        </w:numPr>
        <w:rPr>
          <w:sz w:val="20"/>
        </w:rPr>
      </w:pPr>
      <w:r>
        <w:rPr>
          <w:sz w:val="20"/>
        </w:rPr>
        <w:t>Represent interest of owner in managing commercial and operational risk.</w:t>
      </w:r>
    </w:p>
    <w:p>
      <w:pPr>
        <w:pStyle w:val="Normal"/>
        <w:numPr>
          <w:ilvl w:val="0"/>
          <w:numId w:val="4"/>
        </w:numPr>
        <w:rPr>
          <w:sz w:val="20"/>
        </w:rPr>
      </w:pPr>
      <w:r>
        <w:rPr>
          <w:sz w:val="20"/>
        </w:rPr>
        <w:t>When applicable, operate asset as required by contract.</w:t>
      </w:r>
    </w:p>
    <w:p>
      <w:pPr>
        <w:pStyle w:val="Normal"/>
        <w:numPr>
          <w:ilvl w:val="0"/>
          <w:numId w:val="4"/>
        </w:numPr>
        <w:rPr>
          <w:sz w:val="20"/>
        </w:rPr>
      </w:pPr>
      <w:r>
        <w:rPr>
          <w:sz w:val="20"/>
        </w:rPr>
        <w:t>Strengthen, improve, and secure project returns in response to changing market conditions.</w:t>
      </w:r>
    </w:p>
    <w:p>
      <w:pPr>
        <w:pStyle w:val="Normal"/>
        <w:numPr>
          <w:ilvl w:val="0"/>
          <w:numId w:val="0"/>
        </w:numPr>
        <w:ind w:hanging="360" w:start="360" w:end="0"/>
        <w:rPr>
          <w:sz w:val="16"/>
        </w:rPr>
      </w:pPr>
      <w:r>
        <w:rPr>
          <w:sz w:val="16"/>
        </w:rPr>
      </w:r>
    </w:p>
    <w:p>
      <w:pPr>
        <w:pStyle w:val="Normal"/>
        <w:rPr>
          <w:b/>
          <w:smallCaps/>
        </w:rPr>
      </w:pPr>
      <w:r>
        <w:rPr>
          <w:sz w:val="20"/>
        </w:rPr>
        <w:t>June ‘95 – May ‘96</w:t>
      </w:r>
      <w:r>
        <w:rPr>
          <w:smallCaps/>
          <w:sz w:val="20"/>
        </w:rPr>
        <w:tab/>
      </w:r>
      <w:r>
        <w:rPr>
          <w:b/>
          <w:smallCaps/>
        </w:rPr>
        <w:t>Enron Capital &amp; Trade Resources</w:t>
        <w:tab/>
      </w:r>
      <w:r>
        <w:rPr>
          <w:b/>
          <w:smallCaps/>
          <w:sz w:val="20"/>
        </w:rPr>
        <w:t>Houston, TX</w:t>
      </w:r>
    </w:p>
    <w:p>
      <w:pPr>
        <w:pStyle w:val="Normal"/>
        <w:ind w:hanging="2160" w:start="2160" w:end="0"/>
        <w:rPr/>
      </w:pPr>
      <w:r>
        <w:rPr>
          <w:sz w:val="20"/>
        </w:rPr>
        <w:tab/>
      </w:r>
      <w:r>
        <w:rPr>
          <w:i/>
          <w:sz w:val="20"/>
          <w:u w:val="single"/>
        </w:rPr>
        <w:t>Associate.</w:t>
      </w:r>
      <w:r>
        <w:rPr>
          <w:sz w:val="20"/>
        </w:rPr>
        <w:t xml:space="preserve"> International Corporate Finance.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160" w:leader="none"/>
        </w:tabs>
        <w:rPr>
          <w:sz w:val="20"/>
        </w:rPr>
      </w:pPr>
      <w:r>
        <w:rPr>
          <w:sz w:val="20"/>
        </w:rPr>
        <w:t>Analyzed Debt &amp; Equity transactions for E&amp;P companies located primarily in the Pacific Rim and Austral-Asian Regions.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160" w:leader="none"/>
        </w:tabs>
        <w:rPr>
          <w:sz w:val="20"/>
        </w:rPr>
      </w:pPr>
      <w:r>
        <w:rPr>
          <w:sz w:val="20"/>
        </w:rPr>
        <w:t>Developed model to analyze Indonesian Production Sharing Contracts for gas and oil.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160" w:leader="none"/>
        </w:tabs>
        <w:rPr>
          <w:sz w:val="20"/>
        </w:rPr>
      </w:pPr>
      <w:r>
        <w:rPr>
          <w:sz w:val="20"/>
        </w:rPr>
        <w:t>Completion of 24 month Associate Rotation Pool in 12 months.</w:t>
      </w:r>
    </w:p>
    <w:p>
      <w:pPr>
        <w:pStyle w:val="Normal"/>
        <w:tabs>
          <w:tab w:val="clear" w:pos="720"/>
          <w:tab w:val="left" w:pos="2160" w:leader="none"/>
        </w:tabs>
        <w:ind w:hanging="2340" w:start="2340" w:end="0"/>
        <w:rPr>
          <w:sz w:val="16"/>
        </w:rPr>
      </w:pPr>
      <w:r>
        <w:rPr>
          <w:sz w:val="16"/>
        </w:rPr>
        <w:tab/>
      </w:r>
    </w:p>
    <w:p>
      <w:pPr>
        <w:pStyle w:val="Normal"/>
        <w:tabs>
          <w:tab w:val="clear" w:pos="720"/>
          <w:tab w:val="left" w:pos="2160" w:leader="none"/>
        </w:tabs>
        <w:ind w:hanging="2340" w:start="2340" w:end="0"/>
        <w:rPr/>
      </w:pPr>
      <w:r>
        <w:rPr>
          <w:sz w:val="20"/>
        </w:rPr>
        <w:t>June ‘94 - May ‘95</w:t>
        <w:tab/>
      </w:r>
      <w:r>
        <w:rPr>
          <w:b/>
          <w:smallCaps/>
        </w:rPr>
        <w:t xml:space="preserve">Salomon Brothers Inc </w:t>
      </w:r>
      <w:r>
        <w:rPr>
          <w:smallCaps/>
        </w:rPr>
        <w:t>(</w:t>
      </w:r>
      <w:r>
        <w:rPr>
          <w:i/>
          <w:smallCaps/>
        </w:rPr>
        <w:t>NYSE: C</w:t>
      </w:r>
      <w:r>
        <w:rPr>
          <w:smallCaps/>
        </w:rPr>
        <w:t>)</w:t>
      </w:r>
      <w:r>
        <w:rPr>
          <w:b/>
          <w:smallCaps/>
        </w:rPr>
        <w:tab/>
      </w:r>
      <w:r>
        <w:rPr>
          <w:b/>
          <w:smallCaps/>
          <w:sz w:val="20"/>
        </w:rPr>
        <w:t>New York, NY</w:t>
      </w:r>
    </w:p>
    <w:p>
      <w:pPr>
        <w:pStyle w:val="Normal"/>
        <w:tabs>
          <w:tab w:val="clear" w:pos="720"/>
          <w:tab w:val="left" w:pos="2160" w:leader="none"/>
        </w:tabs>
        <w:ind w:hanging="2340" w:start="2340" w:end="0"/>
        <w:rPr/>
      </w:pPr>
      <w:r>
        <w:rPr>
          <w:b/>
          <w:smallCaps/>
          <w:sz w:val="20"/>
        </w:rPr>
        <w:tab/>
      </w:r>
      <w:r>
        <w:rPr>
          <w:i/>
          <w:sz w:val="20"/>
          <w:u w:val="single"/>
        </w:rPr>
        <w:t>Summer Associate.</w:t>
      </w:r>
      <w:r>
        <w:rPr>
          <w:sz w:val="20"/>
        </w:rPr>
        <w:t xml:space="preserve"> High-Yield Corporate Bond Research.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160" w:leader="none"/>
        </w:tabs>
        <w:rPr>
          <w:sz w:val="20"/>
        </w:rPr>
      </w:pPr>
      <w:r>
        <w:rPr>
          <w:sz w:val="20"/>
        </w:rPr>
        <w:t>Analyzed High-Yield Corporate debt transactions within the Steel, Computer and Data/Technology Services Industries.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160" w:leader="none"/>
        </w:tabs>
        <w:rPr>
          <w:sz w:val="20"/>
        </w:rPr>
      </w:pPr>
      <w:r>
        <w:rPr>
          <w:sz w:val="20"/>
        </w:rPr>
        <w:t>Evaluated financial statements and completed proforma projections utilizing spreadsheets.</w:t>
      </w:r>
    </w:p>
    <w:p>
      <w:pPr>
        <w:pStyle w:val="Normal"/>
        <w:tabs>
          <w:tab w:val="clear" w:pos="720"/>
          <w:tab w:val="left" w:pos="2160" w:leader="none"/>
        </w:tabs>
        <w:ind w:hanging="2340" w:start="2340" w:end="0"/>
        <w:rPr>
          <w:b/>
          <w:smallCaps/>
          <w:sz w:val="16"/>
        </w:rPr>
      </w:pPr>
      <w:r>
        <w:rPr>
          <w:b/>
          <w:smallCaps/>
          <w:sz w:val="16"/>
        </w:rPr>
      </w:r>
    </w:p>
    <w:p>
      <w:pPr>
        <w:pStyle w:val="Normal"/>
        <w:tabs>
          <w:tab w:val="clear" w:pos="720"/>
          <w:tab w:val="left" w:pos="2160" w:leader="none"/>
        </w:tabs>
        <w:ind w:hanging="2340" w:start="2340" w:end="0"/>
        <w:rPr/>
      </w:pPr>
      <w:r>
        <w:rPr>
          <w:sz w:val="20"/>
        </w:rPr>
        <w:t>Aug. ‘88 – Aug.’93</w:t>
        <w:tab/>
      </w:r>
      <w:r>
        <w:rPr>
          <w:b/>
          <w:smallCaps/>
        </w:rPr>
        <w:t>Union Bank</w:t>
        <w:tab/>
      </w:r>
      <w:r>
        <w:rPr>
          <w:smallCaps/>
        </w:rPr>
        <w:t>(</w:t>
      </w:r>
      <w:r>
        <w:rPr>
          <w:i/>
          <w:smallCaps/>
        </w:rPr>
        <w:t>NYSE: UBT</w:t>
      </w:r>
      <w:r>
        <w:rPr>
          <w:smallCaps/>
        </w:rPr>
        <w:t>)</w:t>
        <w:tab/>
      </w:r>
      <w:r>
        <w:rPr>
          <w:b/>
          <w:smallCaps/>
        </w:rPr>
        <w:tab/>
        <w:tab/>
      </w:r>
      <w:r>
        <w:rPr>
          <w:b/>
          <w:smallCaps/>
          <w:sz w:val="20"/>
        </w:rPr>
        <w:t>San Diego, CA</w:t>
      </w:r>
    </w:p>
    <w:p>
      <w:pPr>
        <w:pStyle w:val="Normal"/>
        <w:tabs>
          <w:tab w:val="clear" w:pos="720"/>
          <w:tab w:val="left" w:pos="2160" w:leader="none"/>
        </w:tabs>
        <w:ind w:hanging="2340" w:start="2340" w:end="0"/>
        <w:rPr/>
      </w:pPr>
      <w:r>
        <w:rPr>
          <w:b/>
          <w:smallCaps/>
          <w:sz w:val="20"/>
        </w:rPr>
        <w:tab/>
      </w:r>
      <w:r>
        <w:rPr>
          <w:i/>
          <w:sz w:val="20"/>
          <w:u w:val="single"/>
        </w:rPr>
        <w:t>Assistant Vice President.</w:t>
      </w:r>
      <w:r>
        <w:rPr>
          <w:sz w:val="20"/>
        </w:rPr>
        <w:t xml:space="preserve"> Real Estate Finance Group.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160" w:leader="none"/>
        </w:tabs>
        <w:rPr>
          <w:sz w:val="20"/>
        </w:rPr>
      </w:pPr>
      <w:r>
        <w:rPr>
          <w:sz w:val="20"/>
        </w:rPr>
        <w:t>Managed $190 million dollar non-performing loan portfolio.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160" w:leader="none"/>
        </w:tabs>
        <w:rPr>
          <w:sz w:val="20"/>
        </w:rPr>
      </w:pPr>
      <w:r>
        <w:rPr>
          <w:sz w:val="20"/>
        </w:rPr>
        <w:t>Assigned to special task force to negotiate “work-out” and “work-with” solutions with eight major real estate development companies.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160" w:leader="none"/>
        </w:tabs>
        <w:rPr>
          <w:sz w:val="20"/>
        </w:rPr>
      </w:pPr>
      <w:r>
        <w:rPr>
          <w:sz w:val="20"/>
        </w:rPr>
        <w:t>Completion of 1-year Bank Management Training Program in 1989.</w:t>
      </w:r>
    </w:p>
    <w:p>
      <w:pPr>
        <w:pStyle w:val="Normal"/>
        <w:tabs>
          <w:tab w:val="clear" w:pos="720"/>
          <w:tab w:val="left" w:pos="2160" w:leader="none"/>
        </w:tabs>
        <w:ind w:hanging="2340" w:start="2340" w:end="0"/>
        <w:rPr>
          <w:sz w:val="16"/>
        </w:rPr>
      </w:pPr>
      <w:r>
        <w:rPr>
          <w:sz w:val="16"/>
        </w:rPr>
      </w:r>
    </w:p>
    <w:p>
      <w:pPr>
        <w:pStyle w:val="Heading2"/>
        <w:ind w:hanging="0" w:start="0"/>
        <w:rPr/>
      </w:pPr>
      <w:r>
        <w:rPr/>
        <w:t>Additional</w:t>
        <w:tab/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160" w:leader="none"/>
          <w:tab w:val="left" w:pos="2520" w:leader="none"/>
        </w:tabs>
        <w:ind w:hanging="360" w:start="2520" w:end="0"/>
        <w:rPr>
          <w:sz w:val="20"/>
        </w:rPr>
      </w:pPr>
      <w:r>
        <w:rPr>
          <w:sz w:val="20"/>
        </w:rPr>
        <w:t xml:space="preserve">Completed </w:t>
      </w:r>
      <w:r>
        <w:rPr>
          <w:i/>
          <w:sz w:val="20"/>
        </w:rPr>
        <w:t>Six Sigma</w:t>
      </w:r>
      <w:r>
        <w:rPr>
          <w:sz w:val="20"/>
        </w:rPr>
        <w:t xml:space="preserve"> “CAP Training” and “Facilitating High Performance Meetings” courses administered by General Electric.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160" w:leader="none"/>
          <w:tab w:val="left" w:pos="2520" w:leader="none"/>
        </w:tabs>
        <w:ind w:hanging="360" w:start="2520" w:end="0"/>
        <w:rPr>
          <w:sz w:val="20"/>
        </w:rPr>
      </w:pPr>
      <w:r>
        <w:rPr>
          <w:sz w:val="20"/>
        </w:rPr>
        <w:t>Board member of ENPAC (Entergy’s Political Action Committee).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160" w:leader="none"/>
          <w:tab w:val="left" w:pos="2520" w:leader="none"/>
        </w:tabs>
        <w:ind w:hanging="360" w:start="2520" w:end="0"/>
        <w:rPr>
          <w:sz w:val="20"/>
        </w:rPr>
      </w:pPr>
      <w:r>
        <w:rPr>
          <w:sz w:val="20"/>
        </w:rPr>
        <w:t>Received “Man of the Year 2000” award from Jackson County, Ohio for bringing the largest single capital investment in County’s history.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160" w:leader="none"/>
          <w:tab w:val="left" w:pos="2520" w:leader="none"/>
        </w:tabs>
        <w:ind w:hanging="360" w:start="2520" w:end="0"/>
        <w:rPr>
          <w:sz w:val="20"/>
        </w:rPr>
      </w:pPr>
      <w:r>
        <w:rPr>
          <w:sz w:val="20"/>
        </w:rPr>
        <w:t>Fundraiser for Royal Family Kids Camp.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160" w:leader="none"/>
          <w:tab w:val="left" w:pos="2520" w:leader="none"/>
        </w:tabs>
        <w:ind w:hanging="360" w:start="2520" w:end="0"/>
        <w:rPr>
          <w:sz w:val="20"/>
        </w:rPr>
      </w:pPr>
      <w:r>
        <w:rPr>
          <w:sz w:val="20"/>
        </w:rPr>
        <w:t xml:space="preserve">Overseas work assignments include China and Singapore. 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160" w:leader="none"/>
          <w:tab w:val="left" w:pos="2520" w:leader="none"/>
        </w:tabs>
        <w:ind w:hanging="360" w:start="2520" w:end="0"/>
        <w:rPr>
          <w:sz w:val="20"/>
        </w:rPr>
      </w:pPr>
      <w:r>
        <w:rPr>
          <w:sz w:val="20"/>
        </w:rPr>
        <w:t xml:space="preserve">Proficient in EXCEL, WORD, Power Point and MS Project.  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160" w:leader="none"/>
          <w:tab w:val="left" w:pos="2520" w:leader="none"/>
        </w:tabs>
        <w:ind w:hanging="360" w:start="2520" w:end="0"/>
        <w:rPr>
          <w:sz w:val="20"/>
        </w:rPr>
      </w:pPr>
      <w:r>
        <w:rPr>
          <w:sz w:val="20"/>
        </w:rPr>
        <w:t xml:space="preserve">Enjoy water sports, physical fitness, golf and jogging. </w:t>
      </w:r>
    </w:p>
    <w:p>
      <w:pPr>
        <w:pStyle w:val="Normal"/>
        <w:tabs>
          <w:tab w:val="clear" w:pos="720"/>
          <w:tab w:val="left" w:pos="2160" w:leader="none"/>
        </w:tabs>
        <w:ind w:hanging="2160" w:start="2160" w:end="0"/>
        <w:rPr>
          <w:b/>
          <w:smallCaps/>
          <w:sz w:val="20"/>
        </w:rPr>
      </w:pPr>
      <w:r>
        <w:rPr>
          <w:b/>
          <w:smallCaps/>
          <w:sz w:val="20"/>
        </w:rPr>
      </w:r>
    </w:p>
    <w:p>
      <w:pPr>
        <w:pStyle w:val="Normal"/>
        <w:rPr>
          <w:b/>
          <w:smallCaps/>
        </w:rPr>
      </w:pPr>
      <w:r>
        <w:rPr>
          <w:b/>
          <w:smallCaps/>
        </w:rPr>
        <w:t>Education</w:t>
      </w:r>
    </w:p>
    <w:p>
      <w:pPr>
        <w:pStyle w:val="Normal"/>
        <w:rPr>
          <w:b/>
          <w:smallCaps/>
        </w:rPr>
      </w:pPr>
      <w:r>
        <w:rPr>
          <w:smallCaps/>
          <w:sz w:val="20"/>
        </w:rPr>
        <w:t>1993 - 1995</w:t>
      </w:r>
      <w:r>
        <w:rPr>
          <w:b/>
          <w:smallCaps/>
        </w:rPr>
        <w:tab/>
        <w:tab/>
        <w:t>Columbia Business School</w:t>
        <w:tab/>
        <w:tab/>
      </w:r>
      <w:r>
        <w:rPr>
          <w:b/>
          <w:smallCaps/>
          <w:sz w:val="20"/>
        </w:rPr>
        <w:t>New York, NY</w:t>
      </w:r>
    </w:p>
    <w:p>
      <w:pPr>
        <w:pStyle w:val="Normal"/>
        <w:rPr/>
      </w:pPr>
      <w:r>
        <w:rPr>
          <w:b/>
          <w:smallCaps/>
        </w:rPr>
        <w:tab/>
        <w:tab/>
        <w:tab/>
      </w:r>
      <w:r>
        <w:rPr>
          <w:sz w:val="20"/>
        </w:rPr>
        <w:t>MBA, Finance, May 1995.</w:t>
      </w:r>
    </w:p>
    <w:p>
      <w:pPr>
        <w:pStyle w:val="Normal"/>
        <w:rPr>
          <w:sz w:val="20"/>
        </w:rPr>
      </w:pPr>
      <w:r>
        <w:rPr>
          <w:sz w:val="20"/>
        </w:rPr>
        <w:tab/>
        <w:tab/>
        <w:tab/>
        <w:t>Member, Rugby Team, VP-Real Estate Club.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b/>
          <w:smallCaps/>
        </w:rPr>
      </w:pPr>
      <w:r>
        <w:rPr>
          <w:sz w:val="20"/>
        </w:rPr>
        <w:t>1983 - 1988</w:t>
      </w:r>
      <w:r>
        <w:rPr>
          <w:b/>
        </w:rPr>
        <w:tab/>
        <w:tab/>
      </w:r>
      <w:r>
        <w:rPr>
          <w:b/>
          <w:smallCaps/>
        </w:rPr>
        <w:t>San Diego State University</w:t>
        <w:tab/>
        <w:tab/>
      </w:r>
      <w:r>
        <w:rPr>
          <w:b/>
          <w:smallCaps/>
          <w:sz w:val="20"/>
        </w:rPr>
        <w:t>San Diego, CA</w:t>
      </w:r>
    </w:p>
    <w:p>
      <w:pPr>
        <w:pStyle w:val="Normal"/>
        <w:rPr/>
      </w:pPr>
      <w:r>
        <w:rPr>
          <w:b/>
        </w:rPr>
        <w:tab/>
        <w:tab/>
        <w:tab/>
      </w:r>
      <w:r>
        <w:rPr>
          <w:sz w:val="20"/>
        </w:rPr>
        <w:t>BS, Finance, May 1988.</w:t>
      </w:r>
    </w:p>
    <w:p>
      <w:pPr>
        <w:pStyle w:val="Normal"/>
        <w:rPr>
          <w:sz w:val="20"/>
        </w:rPr>
      </w:pPr>
      <w:r>
        <w:rPr>
          <w:sz w:val="20"/>
        </w:rPr>
        <w:tab/>
        <w:tab/>
        <w:tab/>
        <w:t>Founded land-lease firm in college to provide parking facilities for students.</w:t>
      </w:r>
    </w:p>
    <w:p>
      <w:pPr>
        <w:pStyle w:val="Normal"/>
        <w:rPr>
          <w:sz w:val="20"/>
        </w:rPr>
      </w:pPr>
      <w:r>
        <w:rPr>
          <w:sz w:val="20"/>
        </w:rPr>
        <w:tab/>
        <w:tab/>
        <w:tab/>
        <w:t>Member, Finance Society, Speech &amp; Debate Team, Varsity Crew Team.</w:t>
      </w:r>
    </w:p>
    <w:p>
      <w:pPr>
        <w:pStyle w:val="Normal"/>
        <w:rPr>
          <w:sz w:val="20"/>
        </w:rPr>
      </w:pPr>
      <w:r>
        <w:rPr>
          <w:sz w:val="20"/>
        </w:rPr>
        <w:tab/>
        <w:tab/>
        <w:tab/>
        <w:t>Worked full-time while fully matriculated.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tabs>
          <w:tab w:val="clear" w:pos="720"/>
          <w:tab w:val="left" w:pos="2160" w:leader="none"/>
        </w:tabs>
        <w:ind w:hanging="2160" w:start="2160" w:end="0"/>
        <w:rPr>
          <w:b/>
          <w:smallCaps/>
          <w:sz w:val="16"/>
        </w:rPr>
      </w:pPr>
      <w:r>
        <w:rPr>
          <w:b/>
          <w:smallCaps/>
          <w:sz w:val="16"/>
        </w:rPr>
      </w:r>
    </w:p>
    <w:sectPr>
      <w:footerReference w:type="default" r:id="rId2"/>
      <w:type w:val="nextPage"/>
      <w:pgSz w:w="12240" w:h="15840"/>
      <w:pgMar w:left="720" w:right="720" w:gutter="0" w:header="0" w:top="72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">
    <w:altName w:val="Times New Roman"/>
    <w:charset w:val="00" w:characterSet="windows-1252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ab/>
      <w:tab/>
      <w:tab/>
    </w:r>
    <w:r>
      <w:rPr>
        <w:sz w:val="20"/>
      </w:rPr>
      <w:t xml:space="preserve">Page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>
      <w:rPr>
        <w:rStyle w:val="PageNumber"/>
        <w:sz w:val="20"/>
      </w:rPr>
      <w:t>2</w:t>
    </w:r>
    <w:r>
      <w:rPr>
        <w:rStyle w:val="PageNumber"/>
        <w:sz w:val="20"/>
      </w:rPr>
      <w:fldChar w:fldCharType="end"/>
    </w:r>
    <w:r>
      <w:rPr>
        <w:rStyle w:val="PageNumber"/>
        <w:sz w:val="20"/>
      </w:rPr>
      <w:t xml:space="preserve"> of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NUMPAGES \* ARABIC </w:instrText>
    </w:r>
    <w:r>
      <w:rPr>
        <w:rStyle w:val="PageNumber"/>
        <w:sz w:val="20"/>
      </w:rPr>
      <w:fldChar w:fldCharType="separate"/>
    </w:r>
    <w:r>
      <w:rPr>
        <w:rStyle w:val="PageNumber"/>
        <w:sz w:val="20"/>
      </w:rPr>
      <w:t>2</w:t>
    </w:r>
    <w:r>
      <w:rPr>
        <w:rStyle w:val="PageNumber"/>
        <w:sz w:val="20"/>
      </w:rPr>
      <w:fldChar w:fldCharType="end"/>
    </w:r>
    <w:r>
      <w:rPr>
        <w:sz w:val="20"/>
      </w:rPr>
      <w:t xml:space="preserve"> 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numFmt w:val="bullet"/>
      <w:lvlText w:val=""/>
      <w:lvlJc w:val="start"/>
      <w:pPr>
        <w:tabs>
          <w:tab w:val="num" w:pos="360"/>
        </w:tabs>
        <w:ind w:start="2520" w:hanging="360"/>
      </w:pPr>
      <w:rPr>
        <w:rFonts w:ascii="Symbol" w:hAnsi="Symbol" w:cs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2160" w:leader="none"/>
      </w:tabs>
      <w:outlineLvl w:val="1"/>
    </w:pPr>
    <w:rPr>
      <w:b/>
      <w:smallCaps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Times" w:hAnsi="Times" w:cs="Times"/>
      <w:b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St1z0">
    <w:name w:val="WW8NumSt1z0"/>
    <w:qFormat/>
    <w:rPr>
      <w:rFonts w:ascii="Symbol" w:hAnsi="Symbol" w:cs="Symbol"/>
      <w:sz w:val="20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36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Subtitle">
    <w:name w:val="Subtitle"/>
    <w:basedOn w:val="Normal"/>
    <w:next w:val="BodyText"/>
    <w:qFormat/>
    <w:pPr>
      <w:jc w:val="center"/>
    </w:pPr>
    <w:rPr>
      <w:b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2001-08-27T16:46:00Z</dcterms:created>
  <dc:creator>Kevin C. Simmons</dc:creator>
  <dc:description/>
  <dc:language>en-CA</dc:language>
  <cp:lastModifiedBy>ldelgado</cp:lastModifiedBy>
  <cp:lastPrinted>2001-07-04T17:55:00Z</cp:lastPrinted>
  <dcterms:modified xsi:type="dcterms:W3CDTF">2001-08-27T16:46:00Z</dcterms:modified>
  <cp:revision>2</cp:revision>
  <dc:subject/>
  <dc:title>Kevin C. Simmons</dc:title>
</cp:coreProperties>
</file>