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as submitted by Counterparty via the Website.  The Period of Delivery shall be from the Effective Date through the Termination Date.</w:t>
      </w:r>
    </w:p>
    <w:p>
      <w:pPr>
        <w:pStyle w:val="Normal"/>
        <w:rPr/>
      </w:pPr>
      <w:r>
        <w:rPr/>
      </w:r>
    </w:p>
    <w:p>
      <w:pPr>
        <w:pStyle w:val="Normal"/>
        <w:rPr/>
      </w:pPr>
      <w:r>
        <w:rPr/>
        <w:t>The term of the Transaction shall correspond to the date(s) set forth in the Product description on the Website.</w:t>
      </w:r>
    </w:p>
    <w:p>
      <w:pPr>
        <w:pStyle w:val="Normal"/>
        <w:rPr/>
      </w:pPr>
      <w:r>
        <w:rPr/>
      </w:r>
    </w:p>
    <w:p>
      <w:pPr>
        <w:pStyle w:val="Normal"/>
        <w:rPr/>
      </w:pPr>
      <w:r>
        <w:rPr/>
        <w:t xml:space="preserve">The transaction is for delivery of Kern Bakersfield Pool Gas on Kern River Transmission Pipeline.  The following meters define Kern Bakersfield Pool Gas: Kern Front (2-5010)  Mt. Poso (2-5009) Sycamore (2-5007) Kern River SF (2-5025) China Grade (2-5006)     N Kern River (2-5008) Kern River Chevreon (2-5005) S.E. Kern River (2-5004) Bear Mountain (2-5026) Race Track (2-5003) Techachapi-Cummings (2-5027) S.Midway (2-5012) Taft (2-5013) Midway Midset (2-5014) Midway (2-5015) N. Midway) (2-5017) Chevron (2-5020) Mobil (2-5021) Shell (2-5022) Texaco (2-5023) Mckittrick (2-5019) Crocker Springs (2-5018) Oxford (2-5016).  </w:t>
      </w:r>
    </w:p>
    <w:p>
      <w:pPr>
        <w:pStyle w:val="Normal"/>
        <w:rPr/>
      </w:pPr>
      <w:r>
        <w:rPr/>
      </w:r>
    </w:p>
    <w:p>
      <w:pPr>
        <w:pStyle w:val="Normal"/>
        <w:rPr/>
      </w:pPr>
      <w:r>
        <w:rPr/>
        <w:t xml:space="preserve">The transaction is for delivery into meters defined in the Kern Bakersfield Pool via the Kern River Transmission Pipeline at the Buyer's discretion. Buyer must communicate its election of the metered delivery point to Seller by 10:00a.m. Central Prevailing Time on the business day prior to the Effective Date (the "Election Deadline").  </w:t>
      </w:r>
    </w:p>
    <w:p>
      <w:pPr>
        <w:pStyle w:val="Normal"/>
        <w:rPr/>
      </w:pPr>
      <w:r>
        <w:rPr/>
      </w:r>
    </w:p>
    <w:p>
      <w:pPr>
        <w:pStyle w:val="Normal"/>
        <w:rPr/>
      </w:pPr>
      <w:r>
        <w:rPr/>
        <w:t xml:space="preserve">The price is quoted in US Dollars per unit of volume, which will be the Contractual Currency.  </w:t>
      </w:r>
    </w:p>
    <w:p>
      <w:pPr>
        <w:pStyle w:val="Normal"/>
        <w:rPr/>
      </w:pPr>
      <w:r>
        <w:rPr/>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2001-10-17T14:25:00Z</dcterms:created>
  <dc:creator>ssouth</dc:creator>
  <dc:description/>
  <dc:language>en-CA</dc:language>
  <cp:lastModifiedBy>ssouth</cp:lastModifiedBy>
  <dcterms:modified xsi:type="dcterms:W3CDTF">2001-10-17T14:40:00Z</dcterms:modified>
  <cp:revision>5</cp:revision>
  <dc:subject/>
  <dc:title>A US Gas Transaction with Enron North America Corp</dc:title>
</cp:coreProperties>
</file>