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tabs>
          <w:tab w:val="clear" w:pos="6480"/>
          <w:tab w:val="left" w:pos="1440" w:leader="none"/>
          <w:tab w:val="left" w:pos="4320" w:leader="none"/>
          <w:tab w:val="left" w:pos="7200" w:leader="none"/>
        </w:tabs>
        <w:rPr/>
      </w:pPr>
      <w:r>
        <w:rPr/>
      </w:r>
    </w:p>
    <w:p>
      <w:pPr>
        <w:pStyle w:val="Normal"/>
        <w:tabs>
          <w:tab w:val="clear" w:pos="720"/>
          <w:tab w:val="left" w:pos="1440" w:leader="none"/>
          <w:tab w:val="left" w:pos="4320" w:leader="none"/>
          <w:tab w:val="left" w:pos="7200"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4320" w:leader="none"/>
          <w:tab w:val="left" w:pos="7200"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4320" w:leader="none"/>
          <w:tab w:val="left" w:pos="7200" w:leader="none"/>
        </w:tabs>
        <w:spacing w:lineRule="exact" w:line="67"/>
        <w:rPr>
          <w:rFonts w:ascii="Times New Roman" w:hAnsi="Times New Roman" w:cs="Times New Roman"/>
          <w:sz w:val="20"/>
          <w:lang w:val="en-CA" w:eastAsia="en-CA"/>
        </w:rPr>
      </w:pPr>
      <w:r>
        <w:rPr>
          <w:rFonts w:cs="Times New Roman" w:ascii="Times New Roman" w:hAnsi="Times New Roman"/>
          <w:sz w:val="20"/>
          <w:lang w:val="en-CA" w:eastAsia="en-CA"/>
        </w:rPr>
        <mc:AlternateContent>
          <mc:Choice Requires="wps">
            <w:drawing>
              <wp:anchor behindDoc="1" distT="0" distB="0" distL="114935" distR="114935" simplePos="0" locked="0" layoutInCell="0" allowOverlap="1" relativeHeight="2">
                <wp:simplePos x="0" y="0"/>
                <wp:positionH relativeFrom="page">
                  <wp:posOffset>685800</wp:posOffset>
                </wp:positionH>
                <wp:positionV relativeFrom="paragraph">
                  <wp:posOffset>635</wp:posOffset>
                </wp:positionV>
                <wp:extent cx="6400800" cy="42545"/>
                <wp:effectExtent l="0" t="635" r="0" b="0"/>
                <wp:wrapNone/>
                <wp:docPr id="1" name=""/>
                <a:graphic xmlns:a="http://schemas.openxmlformats.org/drawingml/2006/main">
                  <a:graphicData uri="http://schemas.microsoft.com/office/word/2010/wordprocessingShape">
                    <wps:wsp>
                      <wps:cNvSpPr/>
                      <wps:spPr>
                        <a:xfrm>
                          <a:off x="0" y="0"/>
                          <a:ext cx="6400800" cy="42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4pt;margin-top:0pt;width:503.95pt;height:3.3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1440" w:leader="none"/>
          <w:tab w:val="left" w:pos="4320" w:leader="none"/>
          <w:tab w:val="left" w:pos="7200" w:leader="none"/>
        </w:tabs>
        <w:rPr>
          <w:rFonts w:ascii="Arial" w:hAnsi="Arial" w:cs="Arial"/>
          <w:sz w:val="22"/>
        </w:rPr>
      </w:pPr>
      <w:r>
        <w:rPr>
          <w:rFonts w:cs="Arial" w:ascii="Arial" w:hAnsi="Arial"/>
          <w:sz w:val="22"/>
        </w:rPr>
      </w:r>
    </w:p>
    <w:p>
      <w:pPr>
        <w:pStyle w:val="Normal"/>
        <w:tabs>
          <w:tab w:val="clear" w:pos="720"/>
          <w:tab w:val="left" w:pos="1440" w:leader="none"/>
          <w:tab w:val="left" w:pos="4320" w:leader="none"/>
          <w:tab w:val="left" w:pos="7200" w:leader="none"/>
        </w:tabs>
        <w:rPr/>
      </w:pPr>
      <w:r>
        <w:rPr>
          <w:rFonts w:cs="Times New Roman" w:ascii="Times New Roman" w:hAnsi="Times New Roman"/>
          <w:sz w:val="22"/>
        </w:rPr>
        <w:t>Date:</w:t>
        <w:tab/>
        <w:t>March 12, 2001</w:t>
      </w:r>
      <w:r>
        <w:rPr>
          <w:rFonts w:cs="Times New Roman" w:ascii="Times New Roman" w:hAnsi="Times New Roman"/>
          <w:sz w:val="18"/>
        </w:rPr>
        <w:tab/>
      </w:r>
    </w:p>
    <w:p>
      <w:pPr>
        <w:pStyle w:val="Normal"/>
        <w:tabs>
          <w:tab w:val="clear" w:pos="720"/>
          <w:tab w:val="left" w:pos="1440" w:leader="none"/>
          <w:tab w:val="left" w:pos="4320" w:leader="none"/>
          <w:tab w:val="left" w:pos="7200" w:leader="none"/>
        </w:tabs>
        <w:rPr>
          <w:rFonts w:ascii="Times New Roman" w:hAnsi="Times New Roman" w:cs="Times New Roman"/>
          <w:sz w:val="16"/>
        </w:rPr>
      </w:pPr>
      <w:r>
        <w:rPr>
          <w:rFonts w:cs="Times New Roman" w:ascii="Times New Roman" w:hAnsi="Times New Roman"/>
          <w:sz w:val="16"/>
        </w:rPr>
      </w:r>
    </w:p>
    <w:p>
      <w:pPr>
        <w:pStyle w:val="Heading3"/>
        <w:spacing w:before="0" w:after="240"/>
        <w:ind w:hanging="0" w:start="0"/>
        <w:jc w:val="center"/>
        <w:rPr>
          <w:sz w:val="24"/>
        </w:rPr>
      </w:pPr>
      <w:r>
        <w:rPr>
          <w:sz w:val="24"/>
        </w:rPr>
        <w:t>Kern River Announces Open Season</w:t>
      </w:r>
    </w:p>
    <w:p>
      <w:pPr>
        <w:pStyle w:val="BodyTextIndent3"/>
        <w:spacing w:lineRule="auto" w:line="360"/>
        <w:jc w:val="start"/>
        <w:rPr/>
      </w:pPr>
      <w:r>
        <w:rPr/>
        <w:t>Kern River Gas Transmission Company today announced an open season on its natural gas pipeline system to solicit commitments for firm transportation service to California.  The open season is in response to the urgent need for additional gas supplies to serve California electric generation markets during the 2001 cooling season.</w:t>
      </w:r>
    </w:p>
    <w:p>
      <w:pPr>
        <w:pStyle w:val="BodyTextIndent3"/>
        <w:spacing w:lineRule="auto" w:line="360"/>
        <w:jc w:val="start"/>
        <w:rPr/>
      </w:pPr>
      <w:r>
        <w:rPr/>
        <w:t xml:space="preserve"> </w:t>
      </w:r>
      <w:r>
        <w:rPr/>
        <w:t>Kern River has carefully reviewed the feasibility of providing a short term capacity solution on its transmission system.  The Company proposes to provide additional capacity to California within three and one-half months from receiving all necessary permits to proceed.  The anticipated in-service date for the $81 million project is July 1, 2001, subject to receiving all necessary regulatory authorizations.  Kern River will make a final determination concerning the viability of the expansion project not later than April 2, 2001, based on its assessment of whether necessary permits and licenses for construction of the required facilities have been obtained. Kern River may elect to cancel the project if the expansion capacity is not fully subscribed.</w:t>
      </w:r>
    </w:p>
    <w:p>
      <w:pPr>
        <w:pStyle w:val="BodyTextIndent3"/>
        <w:spacing w:lineRule="auto" w:line="360"/>
        <w:jc w:val="start"/>
        <w:rPr>
          <w:b/>
        </w:rPr>
      </w:pPr>
      <w:r>
        <w:rPr/>
        <w:t>The installation of emergency facilities is based upon the immediate delivery of suitable compressor units. The proposed facilities include modifications to three existing compressor stations, installation of three new compressor stations and expansion of a meter station.  A portion of these emergency facilities will be incorporated into Kern River’s 2002 California Expansion Project as modified, or its impending 2003 New Generation Expansion Project. Various temporary facility installations will be removed once permanent expansions are placed in service.</w:t>
      </w:r>
    </w:p>
    <w:p>
      <w:pPr>
        <w:pStyle w:val="BodyTextIndent3"/>
        <w:spacing w:lineRule="auto" w:line="360"/>
        <w:jc w:val="start"/>
        <w:rPr/>
      </w:pPr>
      <w:r>
        <w:rPr/>
        <w:t>Kern River is only accepting bids for service at the incremental rates identified below; however, shippers may request a quantity and term within the limits set forth below. The service is subject to capacity being available at shipper’s receipt and delivery points identified on Exhibit A of the Precedent Agreement.  This transportation service is being offered in two packages:</w:t>
      </w:r>
    </w:p>
    <w:p>
      <w:pPr>
        <w:pStyle w:val="BodyTextIndent3"/>
        <w:spacing w:lineRule="auto" w:line="360"/>
        <w:ind w:hanging="0" w:end="0"/>
        <w:jc w:val="start"/>
        <w:rPr>
          <w:b/>
          <w:u w:val="single"/>
        </w:rPr>
      </w:pPr>
      <w:r>
        <w:rPr>
          <w:b/>
          <w:u w:val="single"/>
        </w:rPr>
        <w:t>Package One:</w:t>
      </w:r>
    </w:p>
    <w:p>
      <w:pPr>
        <w:pStyle w:val="BodyTextIndent3"/>
        <w:numPr>
          <w:ilvl w:val="0"/>
          <w:numId w:val="5"/>
        </w:numPr>
        <w:jc w:val="start"/>
        <w:rPr>
          <w:b/>
          <w:u w:val="single"/>
        </w:rPr>
      </w:pPr>
      <w:r>
        <w:rPr/>
        <w:t>Maximum Quantity:</w:t>
        <w:tab/>
        <w:tab/>
        <w:tab/>
        <w:tab/>
        <w:t xml:space="preserve">21,000 Mcf per day </w:t>
      </w:r>
    </w:p>
    <w:p>
      <w:pPr>
        <w:pStyle w:val="BodyTextIndent3"/>
        <w:numPr>
          <w:ilvl w:val="0"/>
          <w:numId w:val="4"/>
        </w:numPr>
        <w:jc w:val="start"/>
        <w:rPr/>
      </w:pPr>
      <w:r>
        <w:rPr/>
        <w:t>Maximum Term:</w:t>
        <w:tab/>
        <w:tab/>
        <w:tab/>
        <w:tab/>
        <w:t>July 1, 2001 – April 30, 2003</w:t>
      </w:r>
    </w:p>
    <w:p>
      <w:pPr>
        <w:pStyle w:val="BodyTextIndent3"/>
        <w:numPr>
          <w:ilvl w:val="0"/>
          <w:numId w:val="2"/>
        </w:numPr>
        <w:jc w:val="start"/>
        <w:rPr/>
      </w:pPr>
      <w:r>
        <w:rPr/>
        <w:t>Incremental Base Reservation Rate:</w:t>
        <w:tab/>
        <w:tab/>
        <w:t>$0.88 per Mcf</w:t>
      </w:r>
    </w:p>
    <w:p>
      <w:pPr>
        <w:pStyle w:val="BodyTextIndent3"/>
        <w:numPr>
          <w:ilvl w:val="0"/>
          <w:numId w:val="3"/>
        </w:numPr>
        <w:jc w:val="start"/>
        <w:rPr/>
      </w:pPr>
      <w:r>
        <w:rPr/>
        <w:t>Incremental Base Commodity Rate:</w:t>
        <w:tab/>
        <w:tab/>
        <w:t>$0.06 per Mcf</w:t>
      </w:r>
    </w:p>
    <w:p>
      <w:pPr>
        <w:pStyle w:val="BodyTextIndent3"/>
        <w:numPr>
          <w:ilvl w:val="0"/>
          <w:numId w:val="3"/>
        </w:numPr>
        <w:jc w:val="start"/>
        <w:rPr/>
      </w:pPr>
      <w:r>
        <w:rPr/>
        <w:t>Incremental Fuel Usage %:</w:t>
        <w:tab/>
        <w:tab/>
        <w:tab/>
        <w:t>4.2% July 1, 2001 – April 30, 2002</w:t>
      </w:r>
    </w:p>
    <w:p>
      <w:pPr>
        <w:pStyle w:val="BodyTextIndent3"/>
        <w:numPr>
          <w:ilvl w:val="0"/>
          <w:numId w:val="3"/>
        </w:numPr>
        <w:jc w:val="start"/>
        <w:rPr/>
      </w:pPr>
      <w:r>
        <w:rPr/>
        <w:t>Incremental Fuel Usage %:</w:t>
        <w:tab/>
        <w:tab/>
        <w:tab/>
        <w:t>6.2% May 1, 2002 – April 30, 2003</w:t>
      </w:r>
    </w:p>
    <w:p>
      <w:pPr>
        <w:pStyle w:val="BodyTextIndent3"/>
        <w:ind w:hanging="0" w:end="0"/>
        <w:jc w:val="start"/>
        <w:rPr/>
      </w:pPr>
      <w:r>
        <w:rPr/>
        <w:tab/>
        <w:tab/>
        <w:tab/>
      </w:r>
      <w:r>
        <w:br w:type="page"/>
      </w:r>
    </w:p>
    <w:p>
      <w:pPr>
        <w:pStyle w:val="BodyTextIndent3"/>
        <w:ind w:hanging="0" w:end="0"/>
        <w:jc w:val="start"/>
        <w:rPr/>
      </w:pPr>
      <w:r>
        <w:rPr/>
      </w:r>
    </w:p>
    <w:p>
      <w:pPr>
        <w:pStyle w:val="BodyTextIndent3"/>
        <w:ind w:hanging="0" w:end="0"/>
        <w:jc w:val="start"/>
        <w:rPr>
          <w:b/>
          <w:u w:val="single"/>
        </w:rPr>
      </w:pPr>
      <w:r>
        <w:rPr>
          <w:b/>
          <w:u w:val="single"/>
        </w:rPr>
        <w:t>Package Two:</w:t>
      </w:r>
    </w:p>
    <w:p>
      <w:pPr>
        <w:pStyle w:val="BodyTextIndent3"/>
        <w:ind w:hanging="0" w:end="0"/>
        <w:jc w:val="start"/>
        <w:rPr>
          <w:b/>
          <w:u w:val="single"/>
        </w:rPr>
      </w:pPr>
      <w:r>
        <w:rPr>
          <w:b/>
          <w:u w:val="single"/>
        </w:rPr>
      </w:r>
    </w:p>
    <w:p>
      <w:pPr>
        <w:pStyle w:val="BodyTextIndent3"/>
        <w:numPr>
          <w:ilvl w:val="0"/>
          <w:numId w:val="3"/>
        </w:numPr>
        <w:jc w:val="start"/>
        <w:rPr/>
      </w:pPr>
      <w:r>
        <w:rPr/>
        <w:t>Maximum Quantity:</w:t>
        <w:tab/>
        <w:tab/>
        <w:tab/>
        <w:t xml:space="preserve"> </w:t>
        <w:tab/>
        <w:t>114,000 Mcf per day</w:t>
        <w:tab/>
        <w:tab/>
      </w:r>
    </w:p>
    <w:p>
      <w:pPr>
        <w:pStyle w:val="BodyTextIndent3"/>
        <w:numPr>
          <w:ilvl w:val="0"/>
          <w:numId w:val="3"/>
        </w:numPr>
        <w:jc w:val="start"/>
        <w:rPr/>
      </w:pPr>
      <w:r>
        <w:rPr/>
        <w:t>Maximum Term:</w:t>
        <w:tab/>
        <w:tab/>
        <w:tab/>
        <w:tab/>
        <w:t>July 1, 2001 – April 30, 2002</w:t>
        <w:tab/>
        <w:tab/>
      </w:r>
    </w:p>
    <w:p>
      <w:pPr>
        <w:pStyle w:val="BodyTextIndent3"/>
        <w:numPr>
          <w:ilvl w:val="0"/>
          <w:numId w:val="3"/>
        </w:numPr>
        <w:jc w:val="start"/>
        <w:rPr/>
      </w:pPr>
      <w:r>
        <w:rPr/>
        <w:t>Incremental Base Reservation Rate:</w:t>
        <w:tab/>
        <w:tab/>
        <w:t xml:space="preserve">$0.88 per Mcf </w:t>
      </w:r>
    </w:p>
    <w:p>
      <w:pPr>
        <w:pStyle w:val="BodyTextIndent3"/>
        <w:numPr>
          <w:ilvl w:val="0"/>
          <w:numId w:val="3"/>
        </w:numPr>
        <w:jc w:val="start"/>
        <w:rPr/>
      </w:pPr>
      <w:r>
        <w:rPr/>
        <w:t>Incremental Base Commodity Rate:</w:t>
        <w:tab/>
        <w:tab/>
        <w:t>$0.06 per Mcf</w:t>
      </w:r>
    </w:p>
    <w:p>
      <w:pPr>
        <w:pStyle w:val="BodyTextIndent3"/>
        <w:numPr>
          <w:ilvl w:val="0"/>
          <w:numId w:val="3"/>
        </w:numPr>
        <w:jc w:val="start"/>
        <w:rPr/>
      </w:pPr>
      <w:r>
        <w:rPr/>
        <w:t>Incremental Fuel Usage %:</w:t>
        <w:tab/>
        <w:tab/>
        <w:tab/>
        <w:t>4.2%</w:t>
      </w:r>
    </w:p>
    <w:p>
      <w:pPr>
        <w:pStyle w:val="BodyTextIndent3"/>
        <w:ind w:hanging="0" w:end="0"/>
        <w:jc w:val="start"/>
        <w:rPr>
          <w:b/>
          <w:u w:val="single"/>
        </w:rPr>
      </w:pPr>
      <w:r>
        <w:rPr>
          <w:b/>
          <w:u w:val="single"/>
        </w:rPr>
      </w:r>
    </w:p>
    <w:p>
      <w:pPr>
        <w:pStyle w:val="BodyTextIndent3"/>
        <w:spacing w:lineRule="auto" w:line="360"/>
        <w:ind w:firstLine="360" w:end="0"/>
        <w:jc w:val="start"/>
        <w:rPr/>
      </w:pPr>
      <w:r>
        <w:rPr/>
        <w:t xml:space="preserve">Available receipt and delivery point capacity will be awarded first to shippers requesting the longer term Package One capacity.  Each package of capacity will be awarded to creditworthy shippers based upon the Revenues that would be generated during the term of the requested service.  The Revenue is defined as the incremental rate times the requested contract quantity times the requested term.  Requests for all capacity in each package will be ranked on a Revenue basis. In the event there is a Revenue tie, a pro rata allocation methodology based on shipper’s requested quantity will apply. In the tie-breaker allocation, a shipper and its affiliate(s) will be treated as one entity with an aggregate requested quantity that cannot exceed the quantity of capacity in the offered package. </w:t>
      </w:r>
      <w:r>
        <w:rPr>
          <w:color w:val="FF0000"/>
        </w:rPr>
        <w:t xml:space="preserve"> </w:t>
      </w:r>
      <w:r>
        <w:rPr/>
        <w:t>If the allocated capacity is less than shipper’s minimum acceptable capacity, such capacity will be reallocated to the remaining shippers.</w:t>
      </w:r>
    </w:p>
    <w:p>
      <w:pPr>
        <w:pStyle w:val="BodyTextIndent3"/>
        <w:spacing w:lineRule="auto" w:line="360"/>
        <w:ind w:hanging="0" w:end="0"/>
        <w:jc w:val="start"/>
        <w:rPr/>
      </w:pPr>
      <w:r>
        <w:rPr/>
        <w:tab/>
        <w:t>Shippers interested in firm transportation service in this open season must submit a request for service by 12:00 noon MST on March 15, 2001, reflecting shipper’s commitment to accept, and Kern River’s commitment to provide, firm transportation service that includes the following documents:</w:t>
      </w:r>
    </w:p>
    <w:p>
      <w:pPr>
        <w:pStyle w:val="BodyTextIndent3"/>
        <w:spacing w:lineRule="auto" w:line="360"/>
        <w:jc w:val="start"/>
        <w:rPr/>
      </w:pPr>
      <w:r>
        <w:rPr/>
        <w:t>1)</w:t>
        <w:tab/>
        <w:t>An executed binding Precedent Agreement (including a completed Exhibit A setting forth the desired maximum quantity, minimum acceptable quantity, term, and requested receipt and delivery points)</w:t>
      </w:r>
    </w:p>
    <w:p>
      <w:pPr>
        <w:pStyle w:val="BodyTextIndent3"/>
        <w:spacing w:lineRule="auto" w:line="360"/>
        <w:jc w:val="start"/>
        <w:rPr/>
      </w:pPr>
      <w:r>
        <w:rPr/>
        <w:t>2)</w:t>
        <w:tab/>
        <w:t>A statement affirming shippers ability to meet Kern River’s creditworthiness requirements as set forth in its FERC Gas Tariff and policy.</w:t>
      </w:r>
    </w:p>
    <w:p>
      <w:pPr>
        <w:pStyle w:val="BodyTextIndent3"/>
        <w:spacing w:lineRule="auto" w:line="360"/>
        <w:jc w:val="start"/>
        <w:rPr/>
      </w:pPr>
      <w:r>
        <w:rPr/>
        <w:t>3)</w:t>
        <w:tab/>
        <w:t>A statement as to shipper’s urgent or emergency need for the transportation service that may be used by Kern River to justify the expeditious consideration of any requests for permits, licenses or necessary approvals to construct the proposed facilities.</w:t>
      </w:r>
    </w:p>
    <w:p>
      <w:pPr>
        <w:pStyle w:val="BodyTextIndent3"/>
        <w:spacing w:lineRule="auto" w:line="360"/>
        <w:jc w:val="start"/>
        <w:rPr/>
      </w:pPr>
      <w:r>
        <w:rPr/>
        <w:t>4)</w:t>
        <w:tab/>
        <w:t>A list of shipper’s affiliate(s) as set forth in Section 1.6 of the Precedent Agreement.</w:t>
      </w:r>
    </w:p>
    <w:p>
      <w:pPr>
        <w:pStyle w:val="BodyTextIndent3"/>
        <w:spacing w:lineRule="auto" w:line="360"/>
        <w:jc w:val="start"/>
        <w:rPr/>
      </w:pPr>
      <w:r>
        <w:rPr/>
        <w:t>Kern River will not accept any changes to any terms or conditions in the Precedent Agreement and will accept only one request for each of the packages of service per shipper.</w:t>
      </w:r>
    </w:p>
    <w:p>
      <w:pPr>
        <w:pStyle w:val="BodyTextIndent3"/>
        <w:spacing w:lineRule="auto" w:line="360"/>
        <w:jc w:val="start"/>
        <w:rPr/>
      </w:pPr>
      <w:r>
        <w:rPr/>
        <w:t xml:space="preserve">To express an interest for firm service, shippers should contact Laurie Brown at (801) 584-6410. </w:t>
      </w:r>
    </w:p>
    <w:sectPr>
      <w:type w:val="nextPage"/>
      <w:pgSz w:w="12240" w:h="15840"/>
      <w:pgMar w:left="1080" w:right="1080" w:gutter="0" w:header="0" w:top="100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7200" w:leader="none"/>
      </w:tabs>
      <w:spacing w:lineRule="auto" w:line="480"/>
      <w:outlineLvl w:val="0"/>
    </w:pPr>
    <w:rPr>
      <w:rFonts w:ascii="Arial" w:hAnsi="Arial" w:cs="Arial"/>
      <w:b/>
      <w:sz w:val="20"/>
    </w:rPr>
  </w:style>
  <w:style w:type="paragraph" w:styleId="Heading2">
    <w:name w:val="heading 2"/>
    <w:basedOn w:val="Normal"/>
    <w:next w:val="Normal"/>
    <w:qFormat/>
    <w:pPr>
      <w:keepNext w:val="true"/>
      <w:numPr>
        <w:ilvl w:val="1"/>
        <w:numId w:val="1"/>
      </w:numPr>
      <w:tabs>
        <w:tab w:val="clear" w:pos="720"/>
        <w:tab w:val="left" w:pos="1440" w:leader="none"/>
        <w:tab w:val="left" w:pos="4320" w:leader="none"/>
        <w:tab w:val="left" w:pos="7200" w:leader="none"/>
      </w:tabs>
      <w:jc w:val="center"/>
      <w:outlineLvl w:val="1"/>
    </w:pPr>
    <w:rPr>
      <w:rFonts w:ascii="Times New Roman" w:hAnsi="Times New Roman" w:cs="Times New Roman"/>
      <w:b/>
    </w:rPr>
  </w:style>
  <w:style w:type="paragraph" w:styleId="Heading3">
    <w:name w:val="heading 3"/>
    <w:basedOn w:val="Normal"/>
    <w:next w:val="Normal"/>
    <w:qFormat/>
    <w:pPr>
      <w:keepNext w:val="true"/>
      <w:numPr>
        <w:ilvl w:val="2"/>
        <w:numId w:val="1"/>
      </w:numPr>
      <w:tabs>
        <w:tab w:val="clear" w:pos="720"/>
        <w:tab w:val="left" w:pos="1440" w:leader="none"/>
        <w:tab w:val="left" w:pos="4320" w:leader="none"/>
        <w:tab w:val="left" w:pos="7200" w:leader="none"/>
      </w:tabs>
      <w:outlineLvl w:val="2"/>
    </w:pPr>
    <w:rPr>
      <w:rFonts w:ascii="Times New Roman" w:hAnsi="Times New Roman" w:cs="Times New Roman"/>
      <w:b/>
      <w:sz w:val="18"/>
    </w:rPr>
  </w:style>
  <w:style w:type="paragraph" w:styleId="Heading4">
    <w:name w:val="heading 4"/>
    <w:basedOn w:val="Normal"/>
    <w:next w:val="Normal"/>
    <w:qFormat/>
    <w:pPr>
      <w:keepNext w:val="true"/>
      <w:numPr>
        <w:ilvl w:val="3"/>
        <w:numId w:val="1"/>
      </w:numPr>
      <w:tabs>
        <w:tab w:val="clear" w:pos="720"/>
        <w:tab w:val="left" w:pos="1440" w:leader="none"/>
        <w:tab w:val="left" w:pos="4320" w:leader="none"/>
        <w:tab w:val="left" w:pos="7200" w:leader="none"/>
      </w:tabs>
      <w:spacing w:lineRule="auto" w:line="360"/>
      <w:jc w:val="both"/>
      <w:outlineLvl w:val="3"/>
    </w:pPr>
    <w:rPr>
      <w:rFonts w:ascii="Times New Roman" w:hAnsi="Times New Roman" w:cs="Times New Roman"/>
      <w:b/>
      <w:sz w:val="22"/>
    </w:rPr>
  </w:style>
  <w:style w:type="paragraph" w:styleId="Heading5">
    <w:name w:val="heading 5"/>
    <w:basedOn w:val="Normal"/>
    <w:next w:val="Normal"/>
    <w:qFormat/>
    <w:pPr>
      <w:keepNext w:val="true"/>
      <w:numPr>
        <w:ilvl w:val="4"/>
        <w:numId w:val="1"/>
      </w:numPr>
      <w:tabs>
        <w:tab w:val="clear" w:pos="720"/>
        <w:tab w:val="left" w:pos="1440" w:leader="none"/>
        <w:tab w:val="left" w:pos="4320" w:leader="none"/>
        <w:tab w:val="left" w:pos="7200" w:leader="none"/>
      </w:tabs>
      <w:spacing w:lineRule="auto" w:line="360"/>
      <w:ind w:firstLine="720" w:start="0" w:end="0"/>
      <w:jc w:val="center"/>
      <w:outlineLvl w:val="4"/>
    </w:pPr>
    <w:rPr>
      <w:rFonts w:ascii="Times New Roman" w:hAnsi="Times New Roman" w:cs="Times New Roman"/>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18"/>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440" w:leader="none"/>
        <w:tab w:val="left" w:pos="6480" w:leader="none"/>
      </w:tabs>
    </w:pPr>
    <w:rPr>
      <w:rFonts w:ascii="Times New Roman" w:hAnsi="Times New Roman" w:cs="Times New Roman"/>
      <w:sz w:val="6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BodyTextIndent">
    <w:name w:val="Body Text Indent"/>
    <w:basedOn w:val="Normal"/>
    <w:pPr>
      <w:tabs>
        <w:tab w:val="clear" w:pos="720"/>
        <w:tab w:val="left" w:pos="1440" w:leader="none"/>
        <w:tab w:val="left" w:pos="4320" w:leader="none"/>
        <w:tab w:val="left" w:pos="7200" w:leader="none"/>
      </w:tabs>
      <w:ind w:firstLine="720" w:start="0" w:end="0"/>
    </w:pPr>
    <w:rPr>
      <w:rFonts w:ascii="Arial" w:hAnsi="Arial" w:cs="Arial"/>
      <w:sz w:val="22"/>
    </w:rPr>
  </w:style>
  <w:style w:type="paragraph" w:styleId="BodyText2">
    <w:name w:val="Body Text 2"/>
    <w:basedOn w:val="Normal"/>
    <w:qFormat/>
    <w:pPr/>
    <w:rPr>
      <w:rFonts w:ascii="Arial" w:hAnsi="Arial" w:cs="Arial"/>
      <w:sz w:val="20"/>
    </w:rPr>
  </w:style>
  <w:style w:type="paragraph" w:styleId="BodyText3">
    <w:name w:val="Body Text 3"/>
    <w:basedOn w:val="Normal"/>
    <w:qFormat/>
    <w:pPr>
      <w:spacing w:lineRule="auto" w:line="360"/>
    </w:pPr>
    <w:rPr>
      <w:rFonts w:ascii="Times New Roman" w:hAnsi="Times New Roman" w:cs="Times New Roman"/>
      <w:sz w:val="22"/>
    </w:rPr>
  </w:style>
  <w:style w:type="paragraph" w:styleId="BodyTextIndent3">
    <w:name w:val="Body Text Indent 3"/>
    <w:basedOn w:val="Normal"/>
    <w:qFormat/>
    <w:pPr>
      <w:ind w:firstLine="720" w:start="0" w:end="0"/>
      <w:jc w:val="both"/>
    </w:pPr>
    <w:rPr>
      <w:rFonts w:ascii="Times New Roman" w:hAnsi="Times New Roman" w:cs="Times New Roman"/>
      <w:sz w:val="22"/>
    </w:rPr>
  </w:style>
  <w:style w:type="paragraph" w:styleId="BlockText">
    <w:name w:val="Block Text"/>
    <w:basedOn w:val="Normal"/>
    <w:qFormat/>
    <w:pPr>
      <w:widowControl/>
      <w:ind w:hanging="720" w:start="720" w:end="720"/>
      <w:jc w:val="both"/>
    </w:pPr>
    <w:rPr>
      <w:rFonts w:ascii="Arial" w:hAnsi="Arial" w:cs="Arial"/>
      <w:sz w:val="20"/>
      <w:lang w:eastAsia="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template.DOT</Template>
  <TotalTime>587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2001-03-07T14:27:00Z</dcterms:created>
  <dc:creator>beverlyc</dc:creator>
  <dc:description/>
  <dc:language>en-CA</dc:language>
  <cp:lastModifiedBy>Laurie Brown</cp:lastModifiedBy>
  <cp:lastPrinted>2001-03-12T13:20:00Z</cp:lastPrinted>
  <dcterms:modified xsi:type="dcterms:W3CDTF">2001-03-12T18:15:00Z</dcterms:modified>
  <cp:revision>44</cp:revision>
  <dc:subject/>
  <dc:title> </dc:title>
</cp:coreProperties>
</file>