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szCs w:val="32"/>
        </w:rPr>
      </w:pPr>
      <w:r>
        <w:rPr>
          <w:b/>
          <w:bCs/>
          <w:sz w:val="36"/>
          <w:szCs w:val="36"/>
        </w:rPr>
        <w:t>Bakersfield Area Power Plant Projects</w:t>
      </w:r>
    </w:p>
    <w:p>
      <w:pPr>
        <w:pStyle w:val="Normal"/>
        <w:jc w:val="center"/>
        <w:rPr>
          <w:b/>
          <w:bCs/>
          <w:sz w:val="32"/>
          <w:szCs w:val="32"/>
        </w:rPr>
      </w:pPr>
      <w:r>
        <w:rPr>
          <w:b/>
          <w:bCs/>
          <w:sz w:val="32"/>
          <w:szCs w:val="32"/>
        </w:rPr>
      </w:r>
    </w:p>
    <w:p>
      <w:pPr>
        <w:pStyle w:val="Normal"/>
        <w:jc w:val="center"/>
        <w:rPr/>
      </w:pPr>
      <w:r>
        <w:rPr/>
      </w:r>
    </w:p>
    <w:p>
      <w:pPr>
        <w:pStyle w:val="Normal"/>
        <w:jc w:val="center"/>
        <w:rPr>
          <w:sz w:val="24"/>
          <w:szCs w:val="24"/>
        </w:rPr>
      </w:pPr>
      <w:r>
        <w:rPr>
          <w:b/>
          <w:bCs/>
          <w:sz w:val="24"/>
          <w:szCs w:val="24"/>
          <w:u w:val="single"/>
        </w:rPr>
        <w:t>SUMMARY</w:t>
      </w:r>
    </w:p>
    <w:p>
      <w:pPr>
        <w:pStyle w:val="Normal"/>
        <w:rPr>
          <w:sz w:val="24"/>
          <w:szCs w:val="24"/>
        </w:rPr>
      </w:pPr>
      <w:r>
        <w:rPr>
          <w:sz w:val="24"/>
          <w:szCs w:val="24"/>
        </w:rPr>
      </w:r>
    </w:p>
    <w:p>
      <w:pPr>
        <w:pStyle w:val="Normal"/>
        <w:spacing w:lineRule="auto" w:line="360"/>
        <w:ind w:firstLine="720" w:end="0"/>
        <w:rPr>
          <w:sz w:val="24"/>
          <w:szCs w:val="24"/>
        </w:rPr>
      </w:pPr>
      <w:r>
        <w:rPr>
          <w:sz w:val="24"/>
          <w:szCs w:val="24"/>
        </w:rPr>
        <w:t xml:space="preserve">Seven power plant developers have filed, or are expected to file, with the California Energy Commission (CEC) to construct approximately 4818 megawatts of “combined cycle” generation in the Bakersfield, California, area.  If all are built, the associated gas load may approach 810 MDth/day.  </w:t>
      </w:r>
    </w:p>
    <w:p>
      <w:pPr>
        <w:pStyle w:val="Normal"/>
        <w:spacing w:lineRule="auto" w:line="360"/>
        <w:ind w:firstLine="720" w:end="0"/>
        <w:rPr>
          <w:sz w:val="24"/>
          <w:szCs w:val="24"/>
        </w:rPr>
      </w:pPr>
      <w:r>
        <w:rPr>
          <w:sz w:val="24"/>
          <w:szCs w:val="24"/>
        </w:rPr>
      </w:r>
    </w:p>
    <w:p>
      <w:pPr>
        <w:pStyle w:val="Normal"/>
        <w:spacing w:lineRule="auto" w:line="360"/>
        <w:rPr>
          <w:sz w:val="24"/>
          <w:szCs w:val="24"/>
        </w:rPr>
      </w:pPr>
      <w:r>
        <w:rPr/>
        <w:drawing>
          <wp:inline distT="0" distB="0" distL="0" distR="0">
            <wp:extent cx="5469255" cy="3901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5469255" cy="3901440"/>
                    </a:xfrm>
                    <a:prstGeom prst="rect">
                      <a:avLst/>
                    </a:prstGeom>
                    <a:noFill/>
                  </pic:spPr>
                </pic:pic>
              </a:graphicData>
            </a:graphic>
          </wp:inline>
        </w:drawing>
      </w:r>
    </w:p>
    <w:p>
      <w:pPr>
        <w:pStyle w:val="Normal"/>
        <w:spacing w:lineRule="auto" w:line="360"/>
        <w:ind w:firstLine="720" w:end="0"/>
        <w:rPr>
          <w:sz w:val="24"/>
          <w:szCs w:val="24"/>
        </w:rPr>
      </w:pPr>
      <w:r>
        <w:rPr>
          <w:sz w:val="24"/>
          <w:szCs w:val="24"/>
        </w:rPr>
      </w:r>
    </w:p>
    <w:p>
      <w:pPr>
        <w:pStyle w:val="Normal"/>
        <w:spacing w:lineRule="auto" w:line="360"/>
        <w:ind w:firstLine="720" w:end="0"/>
        <w:rPr>
          <w:sz w:val="24"/>
          <w:szCs w:val="24"/>
        </w:rPr>
      </w:pPr>
      <w:r>
        <w:rPr>
          <w:sz w:val="24"/>
          <w:szCs w:val="24"/>
        </w:rPr>
        <w:t xml:space="preserve">PG&amp;E-NEG’s La Paloma Generating Project is the first Bakersfield area project approved by the CEC.  Located in McKittrick, it’s expecting completion in 2002.  Other project completions will follow.  </w:t>
      </w:r>
    </w:p>
    <w:p>
      <w:pPr>
        <w:pStyle w:val="Normal"/>
        <w:spacing w:lineRule="auto" w:line="360"/>
        <w:ind w:firstLine="720" w:end="0"/>
        <w:rPr>
          <w:sz w:val="24"/>
          <w:szCs w:val="24"/>
        </w:rPr>
      </w:pPr>
      <w:r>
        <w:rPr>
          <w:sz w:val="24"/>
          <w:szCs w:val="24"/>
        </w:rPr>
        <w:t xml:space="preserve">Of the seven projects, five propose to obtain gas supply from Kern/Mojave, one from Occidental Petroleum/SoCalGas, and the last project will connect to Southwest Gas, but take supplies from SoCalGas, Kern/Mojave Pipeline or PG&amp;E.  If all these power projects are constructed, there is not enough existing capacity to serve the load.  </w:t>
      </w:r>
    </w:p>
    <w:p>
      <w:pPr>
        <w:pStyle w:val="Normal"/>
        <w:spacing w:lineRule="auto" w:line="360"/>
        <w:jc w:val="center"/>
        <w:rPr>
          <w:sz w:val="24"/>
          <w:szCs w:val="24"/>
        </w:rPr>
      </w:pPr>
      <w:r>
        <w:rPr>
          <w:b/>
          <w:bCs/>
          <w:sz w:val="24"/>
          <w:szCs w:val="24"/>
          <w:u w:val="single"/>
        </w:rPr>
        <w:t>BACKGROUND</w:t>
      </w:r>
    </w:p>
    <w:p>
      <w:pPr>
        <w:pStyle w:val="Normal"/>
        <w:spacing w:lineRule="auto" w:line="360"/>
        <w:ind w:firstLine="720" w:end="0"/>
        <w:rPr>
          <w:sz w:val="24"/>
          <w:szCs w:val="24"/>
        </w:rPr>
      </w:pPr>
      <w:r>
        <w:rPr>
          <w:sz w:val="24"/>
          <w:szCs w:val="24"/>
        </w:rPr>
        <w:t>Forty miles west of Bakersfield, at McKittrick, we find an amazing confluence of prolific gas/oil fields, six natural gas pipelines, and PG&amp;E’s electric transmission system. For this reason, four power projects, 2348 megawatts or over 370 MDth/d, propose siting in the area.  Three additional projects, 2470 megawatts or about 440 MDth/d, propose siting south and east of Bakersfield.   All seven projects are located south of the “Path 15” in the electric grid.</w:t>
      </w:r>
    </w:p>
    <w:p>
      <w:pPr>
        <w:pStyle w:val="Normal"/>
        <w:spacing w:lineRule="auto" w:line="360"/>
        <w:rPr>
          <w:b/>
          <w:bCs/>
          <w:sz w:val="24"/>
          <w:szCs w:val="24"/>
          <w:u w:val="single"/>
        </w:rPr>
      </w:pPr>
      <w:r>
        <w:rPr>
          <w:b/>
          <w:bCs/>
          <w:sz w:val="24"/>
          <w:szCs w:val="24"/>
          <w:u w:val="single"/>
        </w:rPr>
      </w:r>
    </w:p>
    <w:p>
      <w:pPr>
        <w:pStyle w:val="Normal"/>
        <w:spacing w:lineRule="auto" w:line="360"/>
        <w:rPr>
          <w:sz w:val="24"/>
          <w:szCs w:val="24"/>
        </w:rPr>
      </w:pPr>
      <w:r>
        <w:rPr>
          <w:b/>
          <w:bCs/>
          <w:sz w:val="24"/>
          <w:szCs w:val="24"/>
          <w:u w:val="single"/>
        </w:rPr>
        <w:t>POWER PROJECTS</w:t>
      </w:r>
    </w:p>
    <w:p>
      <w:pPr>
        <w:pStyle w:val="Normal"/>
        <w:spacing w:lineRule="auto" w:line="360"/>
        <w:ind w:firstLine="720" w:end="0"/>
        <w:rPr/>
      </w:pPr>
      <w:r>
        <w:rPr/>
        <w:t xml:space="preserve">Developers selected the McKittrick area to take advantage of the existing infrastructure and to minimize environmental impacts.  With a ready natural gas fuel supply and closeness to the existing PG&amp;E 230 kilovolt breaker, four projects have proposed connecting to the electric grid at PG&amp;E’s Midway Substation near Buttonwillow.  Three McKittrick area power projects state their intent to source natural gas supply from Kern/Mojave Pipeline and a fourth from Occidental Petroleum’s Elk Hills Naval Oil Reserve and/or SoCalGas.  The three power projects south and east of Bakersfield state their intent to source gas supply from either Kern/Mojave or Southwest Gas.  Project details are shown below.  </w:t>
      </w:r>
    </w:p>
    <w:tbl>
      <w:tblPr>
        <w:tblW w:w="8118" w:type="dxa"/>
        <w:jc w:val="start"/>
        <w:tblInd w:w="0" w:type="dxa"/>
        <w:tblLayout w:type="fixed"/>
        <w:tblCellMar>
          <w:top w:w="0" w:type="dxa"/>
          <w:start w:w="108" w:type="dxa"/>
          <w:bottom w:w="0" w:type="dxa"/>
          <w:end w:w="108" w:type="dxa"/>
        </w:tblCellMar>
      </w:tblPr>
      <w:tblGrid>
        <w:gridCol w:w="1998"/>
        <w:gridCol w:w="1387"/>
        <w:gridCol w:w="1371"/>
        <w:gridCol w:w="1371"/>
        <w:gridCol w:w="1631"/>
        <w:gridCol w:w="360"/>
      </w:tblGrid>
      <w:tr>
        <w:trPr/>
        <w:tc>
          <w:tcPr>
            <w:tcW w:w="8118" w:type="dxa"/>
            <w:gridSpan w:val="6"/>
            <w:tcBorders>
              <w:top w:val="single" w:sz="12" w:space="0" w:color="000000"/>
              <w:start w:val="single" w:sz="12" w:space="0" w:color="000000"/>
              <w:bottom w:val="dashed" w:sz="6" w:space="0" w:color="auto"/>
              <w:end w:val="single" w:sz="12" w:space="0" w:color="000000"/>
            </w:tcBorders>
          </w:tcPr>
          <w:p>
            <w:pPr>
              <w:pStyle w:val="Normal"/>
              <w:snapToGrid w:val="false"/>
              <w:jc w:val="center"/>
              <w:rPr>
                <w:b/>
                <w:bCs/>
                <w:sz w:val="28"/>
                <w:szCs w:val="28"/>
              </w:rPr>
            </w:pPr>
            <w:r>
              <w:rPr>
                <w:b/>
                <w:bCs/>
                <w:sz w:val="28"/>
                <w:szCs w:val="28"/>
              </w:rPr>
            </w:r>
          </w:p>
          <w:p>
            <w:pPr>
              <w:pStyle w:val="Normal"/>
              <w:jc w:val="center"/>
              <w:rPr>
                <w:sz w:val="28"/>
                <w:szCs w:val="28"/>
              </w:rPr>
            </w:pPr>
            <w:r>
              <w:rPr>
                <w:b/>
                <w:bCs/>
                <w:sz w:val="28"/>
                <w:szCs w:val="28"/>
              </w:rPr>
              <w:t>Table No 1</w:t>
            </w:r>
          </w:p>
          <w:p>
            <w:pPr>
              <w:pStyle w:val="Normal"/>
              <w:jc w:val="center"/>
              <w:rPr>
                <w:sz w:val="24"/>
                <w:szCs w:val="24"/>
              </w:rPr>
            </w:pPr>
            <w:r>
              <w:rPr>
                <w:b/>
                <w:bCs/>
                <w:sz w:val="36"/>
                <w:szCs w:val="36"/>
              </w:rPr>
              <w:t>Bakersfield Area Power Projects</w:t>
            </w:r>
          </w:p>
          <w:p>
            <w:pPr>
              <w:pStyle w:val="Normal"/>
              <w:jc w:val="center"/>
              <w:rPr>
                <w:sz w:val="24"/>
                <w:szCs w:val="24"/>
              </w:rPr>
            </w:pPr>
            <w:r>
              <w:rPr>
                <w:sz w:val="24"/>
                <w:szCs w:val="24"/>
              </w:rPr>
            </w:r>
          </w:p>
        </w:tc>
      </w:tr>
      <w:tr>
        <w:trPr/>
        <w:tc>
          <w:tcPr>
            <w:tcW w:w="1998" w:type="dxa"/>
            <w:tcBorders>
              <w:top w:val="dashed" w:sz="6" w:space="0" w:color="auto"/>
              <w:start w:val="single" w:sz="12" w:space="0" w:color="000000"/>
              <w:bottom w:val="dashed" w:sz="6" w:space="0" w:color="auto"/>
              <w:end w:val="dashed" w:sz="6" w:space="0" w:color="auto"/>
            </w:tcBorders>
          </w:tcPr>
          <w:p>
            <w:pPr>
              <w:pStyle w:val="Normal"/>
              <w:snapToGrid w:val="false"/>
              <w:jc w:val="center"/>
              <w:rPr>
                <w:b/>
                <w:bCs/>
                <w:sz w:val="24"/>
                <w:szCs w:val="24"/>
              </w:rPr>
            </w:pPr>
            <w:r>
              <w:rPr>
                <w:b/>
                <w:bCs/>
                <w:sz w:val="24"/>
                <w:szCs w:val="24"/>
              </w:rPr>
            </w:r>
          </w:p>
          <w:p>
            <w:pPr>
              <w:pStyle w:val="Normal"/>
              <w:jc w:val="center"/>
              <w:rPr>
                <w:b/>
                <w:bCs/>
                <w:sz w:val="24"/>
                <w:szCs w:val="24"/>
              </w:rPr>
            </w:pPr>
            <w:r>
              <w:rPr>
                <w:b/>
                <w:bCs/>
                <w:sz w:val="24"/>
                <w:szCs w:val="24"/>
              </w:rPr>
              <w:t>Description/</w:t>
            </w:r>
          </w:p>
          <w:p>
            <w:pPr>
              <w:pStyle w:val="Normal"/>
              <w:jc w:val="center"/>
              <w:rPr>
                <w:b/>
                <w:bCs/>
                <w:sz w:val="24"/>
                <w:szCs w:val="24"/>
              </w:rPr>
            </w:pPr>
            <w:r>
              <w:rPr>
                <w:b/>
                <w:bCs/>
                <w:sz w:val="24"/>
                <w:szCs w:val="24"/>
                <w:u w:val="single"/>
              </w:rPr>
              <w:t>Sponsor</w:t>
            </w:r>
          </w:p>
        </w:tc>
        <w:tc>
          <w:tcPr>
            <w:tcW w:w="1387" w:type="dxa"/>
            <w:tcBorders>
              <w:top w:val="dashed" w:sz="6" w:space="0" w:color="auto"/>
              <w:start w:val="dashed" w:sz="6" w:space="0" w:color="auto"/>
              <w:bottom w:val="dashed" w:sz="6" w:space="0" w:color="auto"/>
              <w:end w:val="dashed" w:sz="6" w:space="0" w:color="auto"/>
            </w:tcBorders>
          </w:tcPr>
          <w:p>
            <w:pPr>
              <w:pStyle w:val="Normal"/>
              <w:jc w:val="center"/>
              <w:rPr>
                <w:b/>
                <w:bCs/>
                <w:sz w:val="24"/>
                <w:szCs w:val="24"/>
              </w:rPr>
            </w:pPr>
            <w:r>
              <w:rPr>
                <w:b/>
                <w:bCs/>
                <w:sz w:val="24"/>
                <w:szCs w:val="24"/>
              </w:rPr>
              <w:t>Location/</w:t>
            </w:r>
          </w:p>
          <w:p>
            <w:pPr>
              <w:pStyle w:val="Normal"/>
              <w:jc w:val="center"/>
              <w:rPr>
                <w:b/>
                <w:bCs/>
                <w:sz w:val="24"/>
                <w:szCs w:val="24"/>
              </w:rPr>
            </w:pPr>
            <w:r>
              <w:rPr>
                <w:b/>
                <w:bCs/>
                <w:sz w:val="24"/>
                <w:szCs w:val="24"/>
              </w:rPr>
              <w:t>Service</w:t>
            </w:r>
          </w:p>
          <w:p>
            <w:pPr>
              <w:pStyle w:val="Normal"/>
              <w:jc w:val="center"/>
              <w:rPr>
                <w:b/>
                <w:bCs/>
                <w:sz w:val="24"/>
                <w:szCs w:val="24"/>
                <w:u w:val="single"/>
              </w:rPr>
            </w:pPr>
            <w:r>
              <w:rPr>
                <w:b/>
                <w:bCs/>
                <w:sz w:val="24"/>
                <w:szCs w:val="24"/>
                <w:u w:val="single"/>
              </w:rPr>
              <w:t>Territory</w:t>
            </w:r>
          </w:p>
        </w:tc>
        <w:tc>
          <w:tcPr>
            <w:tcW w:w="1371" w:type="dxa"/>
            <w:tcBorders>
              <w:top w:val="dashed" w:sz="6" w:space="0" w:color="auto"/>
              <w:start w:val="dashed" w:sz="6" w:space="0" w:color="auto"/>
              <w:bottom w:val="dashed" w:sz="6" w:space="0" w:color="auto"/>
              <w:end w:val="dashed" w:sz="6" w:space="0" w:color="auto"/>
            </w:tcBorders>
          </w:tcPr>
          <w:p>
            <w:pPr>
              <w:pStyle w:val="Normal"/>
              <w:snapToGrid w:val="false"/>
              <w:jc w:val="center"/>
              <w:rPr>
                <w:b/>
                <w:bCs/>
                <w:sz w:val="24"/>
                <w:szCs w:val="24"/>
                <w:u w:val="single"/>
              </w:rPr>
            </w:pPr>
            <w:r>
              <w:rPr>
                <w:b/>
                <w:bCs/>
                <w:sz w:val="24"/>
                <w:szCs w:val="24"/>
                <w:u w:val="single"/>
              </w:rPr>
            </w:r>
          </w:p>
          <w:p>
            <w:pPr>
              <w:pStyle w:val="Normal"/>
              <w:jc w:val="center"/>
              <w:rPr>
                <w:b/>
                <w:bCs/>
                <w:sz w:val="24"/>
                <w:szCs w:val="24"/>
                <w:u w:val="single"/>
              </w:rPr>
            </w:pPr>
            <w:r>
              <w:rPr>
                <w:b/>
                <w:bCs/>
                <w:sz w:val="24"/>
                <w:szCs w:val="24"/>
                <w:u w:val="single"/>
              </w:rPr>
            </w:r>
          </w:p>
          <w:p>
            <w:pPr>
              <w:pStyle w:val="Normal"/>
              <w:jc w:val="center"/>
              <w:rPr>
                <w:b/>
                <w:bCs/>
                <w:sz w:val="24"/>
                <w:szCs w:val="24"/>
                <w:u w:val="single"/>
              </w:rPr>
            </w:pPr>
            <w:r>
              <w:rPr>
                <w:b/>
                <w:bCs/>
                <w:sz w:val="24"/>
                <w:szCs w:val="24"/>
                <w:u w:val="single"/>
              </w:rPr>
              <w:t>Status</w:t>
            </w:r>
          </w:p>
        </w:tc>
        <w:tc>
          <w:tcPr>
            <w:tcW w:w="1371" w:type="dxa"/>
            <w:tcBorders>
              <w:top w:val="dashed" w:sz="6" w:space="0" w:color="auto"/>
              <w:start w:val="dashed" w:sz="6" w:space="0" w:color="auto"/>
              <w:bottom w:val="dashed" w:sz="6" w:space="0" w:color="auto"/>
              <w:end w:val="dashed" w:sz="6" w:space="0" w:color="auto"/>
            </w:tcBorders>
          </w:tcPr>
          <w:p>
            <w:pPr>
              <w:pStyle w:val="Normal"/>
              <w:snapToGrid w:val="false"/>
              <w:jc w:val="center"/>
              <w:rPr>
                <w:b/>
                <w:bCs/>
                <w:sz w:val="24"/>
                <w:szCs w:val="24"/>
                <w:u w:val="single"/>
              </w:rPr>
            </w:pPr>
            <w:r>
              <w:rPr>
                <w:b/>
                <w:bCs/>
                <w:sz w:val="24"/>
                <w:szCs w:val="24"/>
                <w:u w:val="single"/>
              </w:rPr>
            </w:r>
          </w:p>
          <w:p>
            <w:pPr>
              <w:pStyle w:val="Normal"/>
              <w:jc w:val="center"/>
              <w:rPr>
                <w:b/>
                <w:bCs/>
                <w:sz w:val="24"/>
                <w:szCs w:val="24"/>
                <w:u w:val="single"/>
              </w:rPr>
            </w:pPr>
            <w:r>
              <w:rPr>
                <w:b/>
                <w:bCs/>
                <w:sz w:val="24"/>
                <w:szCs w:val="24"/>
                <w:u w:val="single"/>
              </w:rPr>
            </w:r>
          </w:p>
          <w:p>
            <w:pPr>
              <w:pStyle w:val="Normal"/>
              <w:jc w:val="center"/>
              <w:rPr>
                <w:b/>
                <w:bCs/>
                <w:sz w:val="24"/>
                <w:szCs w:val="24"/>
                <w:u w:val="single"/>
              </w:rPr>
            </w:pPr>
            <w:r>
              <w:rPr>
                <w:b/>
                <w:bCs/>
                <w:sz w:val="24"/>
                <w:szCs w:val="24"/>
                <w:u w:val="single"/>
              </w:rPr>
              <w:t>Megawatts</w:t>
            </w:r>
          </w:p>
        </w:tc>
        <w:tc>
          <w:tcPr>
            <w:tcW w:w="1631" w:type="dxa"/>
            <w:tcBorders>
              <w:top w:val="dashed" w:sz="6" w:space="0" w:color="auto"/>
              <w:start w:val="dashed" w:sz="6" w:space="0" w:color="auto"/>
              <w:bottom w:val="dashed" w:sz="6" w:space="0" w:color="auto"/>
              <w:end w:val="dashed" w:sz="6" w:space="0" w:color="auto"/>
            </w:tcBorders>
          </w:tcPr>
          <w:p>
            <w:pPr>
              <w:pStyle w:val="Normal"/>
              <w:jc w:val="center"/>
              <w:rPr>
                <w:b/>
                <w:bCs/>
                <w:sz w:val="24"/>
                <w:szCs w:val="24"/>
              </w:rPr>
            </w:pPr>
            <w:r>
              <w:rPr>
                <w:b/>
                <w:bCs/>
                <w:sz w:val="24"/>
                <w:szCs w:val="24"/>
              </w:rPr>
              <w:t>Approx.</w:t>
            </w:r>
          </w:p>
          <w:p>
            <w:pPr>
              <w:pStyle w:val="Normal"/>
              <w:jc w:val="center"/>
              <w:rPr>
                <w:b/>
                <w:bCs/>
                <w:sz w:val="24"/>
                <w:szCs w:val="24"/>
                <w:u w:val="single"/>
              </w:rPr>
            </w:pPr>
            <w:r>
              <w:rPr>
                <w:b/>
                <w:bCs/>
                <w:sz w:val="24"/>
                <w:szCs w:val="24"/>
              </w:rPr>
              <w:t>Mdth/day:</w:t>
            </w:r>
          </w:p>
          <w:p>
            <w:pPr>
              <w:pStyle w:val="Normal"/>
              <w:jc w:val="center"/>
              <w:rPr>
                <w:b/>
                <w:bCs/>
                <w:sz w:val="24"/>
                <w:szCs w:val="24"/>
              </w:rPr>
            </w:pPr>
            <w:r>
              <w:rPr>
                <w:b/>
                <w:bCs/>
                <w:sz w:val="24"/>
                <w:szCs w:val="24"/>
                <w:u w:val="single"/>
              </w:rPr>
              <w:t>Supplier</w:t>
            </w:r>
          </w:p>
        </w:tc>
        <w:tc>
          <w:tcPr>
            <w:tcW w:w="360" w:type="dxa"/>
            <w:tcBorders>
              <w:top w:val="dashed" w:sz="6" w:space="0" w:color="auto"/>
              <w:start w:val="dashed" w:sz="6" w:space="0" w:color="auto"/>
              <w:bottom w:val="dashed" w:sz="6" w:space="0" w:color="auto"/>
              <w:end w:val="single" w:sz="12" w:space="0" w:color="000000"/>
            </w:tcBorders>
          </w:tcPr>
          <w:p>
            <w:pPr>
              <w:pStyle w:val="Normal"/>
              <w:snapToGrid w:val="false"/>
              <w:rPr>
                <w:b/>
                <w:bCs/>
                <w:sz w:val="24"/>
                <w:szCs w:val="24"/>
              </w:rPr>
            </w:pPr>
            <w:r>
              <w:rPr>
                <w:b/>
                <w:bCs/>
                <w:sz w:val="24"/>
                <w:szCs w:val="24"/>
              </w:rPr>
            </w:r>
          </w:p>
        </w:tc>
      </w:tr>
      <w:tr>
        <w:trPr/>
        <w:tc>
          <w:tcPr>
            <w:tcW w:w="1998" w:type="dxa"/>
            <w:tcBorders>
              <w:top w:val="dashed" w:sz="6" w:space="0" w:color="auto"/>
              <w:start w:val="single" w:sz="12" w:space="0" w:color="000000"/>
              <w:bottom w:val="dashed" w:sz="6" w:space="0" w:color="auto"/>
              <w:end w:val="dashed" w:sz="6" w:space="0" w:color="auto"/>
            </w:tcBorders>
          </w:tcPr>
          <w:p>
            <w:pPr>
              <w:pStyle w:val="Normal"/>
              <w:snapToGrid w:val="false"/>
              <w:jc w:val="center"/>
              <w:rPr>
                <w:b/>
                <w:bCs/>
                <w:sz w:val="24"/>
                <w:szCs w:val="24"/>
              </w:rPr>
            </w:pPr>
            <w:r>
              <w:rPr>
                <w:b/>
                <w:bCs/>
                <w:sz w:val="24"/>
                <w:szCs w:val="24"/>
              </w:rPr>
            </w:r>
          </w:p>
          <w:p>
            <w:pPr>
              <w:pStyle w:val="Normal"/>
              <w:jc w:val="center"/>
              <w:rPr>
                <w:sz w:val="24"/>
                <w:szCs w:val="24"/>
              </w:rPr>
            </w:pPr>
            <w:r>
              <w:rPr>
                <w:b/>
                <w:bCs/>
                <w:sz w:val="24"/>
                <w:szCs w:val="24"/>
                <w:u w:val="single"/>
              </w:rPr>
              <w:t xml:space="preserve">McKittrick Area           </w:t>
            </w:r>
          </w:p>
        </w:tc>
        <w:tc>
          <w:tcPr>
            <w:tcW w:w="1387" w:type="dxa"/>
            <w:tcBorders>
              <w:top w:val="dashed" w:sz="6" w:space="0" w:color="auto"/>
              <w:start w:val="dashed" w:sz="6" w:space="0" w:color="auto"/>
              <w:bottom w:val="dashed" w:sz="6" w:space="0" w:color="auto"/>
              <w:end w:val="dashed" w:sz="6" w:space="0" w:color="auto"/>
            </w:tcBorders>
          </w:tcPr>
          <w:p>
            <w:pPr>
              <w:pStyle w:val="Normal"/>
              <w:snapToGrid w:val="false"/>
              <w:jc w:val="center"/>
              <w:rPr>
                <w:sz w:val="24"/>
                <w:szCs w:val="24"/>
              </w:rPr>
            </w:pPr>
            <w:r>
              <w:rPr>
                <w:sz w:val="24"/>
                <w:szCs w:val="24"/>
              </w:rPr>
            </w:r>
          </w:p>
        </w:tc>
        <w:tc>
          <w:tcPr>
            <w:tcW w:w="1371" w:type="dxa"/>
            <w:tcBorders>
              <w:top w:val="dashed" w:sz="6" w:space="0" w:color="auto"/>
              <w:start w:val="dashed" w:sz="6" w:space="0" w:color="auto"/>
              <w:bottom w:val="dashed" w:sz="6" w:space="0" w:color="auto"/>
              <w:end w:val="dashed" w:sz="6" w:space="0" w:color="auto"/>
            </w:tcBorders>
          </w:tcPr>
          <w:p>
            <w:pPr>
              <w:pStyle w:val="Normal"/>
              <w:snapToGrid w:val="false"/>
              <w:jc w:val="center"/>
              <w:rPr>
                <w:sz w:val="24"/>
                <w:szCs w:val="24"/>
              </w:rPr>
            </w:pPr>
            <w:r>
              <w:rPr>
                <w:sz w:val="24"/>
                <w:szCs w:val="24"/>
              </w:rPr>
            </w:r>
          </w:p>
        </w:tc>
        <w:tc>
          <w:tcPr>
            <w:tcW w:w="1371" w:type="dxa"/>
            <w:tcBorders>
              <w:top w:val="dashed" w:sz="6" w:space="0" w:color="auto"/>
              <w:start w:val="dashed" w:sz="6" w:space="0" w:color="auto"/>
              <w:bottom w:val="dashed" w:sz="6" w:space="0" w:color="auto"/>
              <w:end w:val="dashed" w:sz="6" w:space="0" w:color="auto"/>
            </w:tcBorders>
          </w:tcPr>
          <w:p>
            <w:pPr>
              <w:pStyle w:val="Normal"/>
              <w:snapToGrid w:val="false"/>
              <w:jc w:val="center"/>
              <w:rPr>
                <w:sz w:val="24"/>
                <w:szCs w:val="24"/>
              </w:rPr>
            </w:pPr>
            <w:r>
              <w:rPr>
                <w:sz w:val="24"/>
                <w:szCs w:val="24"/>
              </w:rPr>
            </w:r>
          </w:p>
        </w:tc>
        <w:tc>
          <w:tcPr>
            <w:tcW w:w="1631" w:type="dxa"/>
            <w:tcBorders>
              <w:top w:val="dashed" w:sz="6" w:space="0" w:color="auto"/>
              <w:start w:val="dashed" w:sz="6" w:space="0" w:color="auto"/>
              <w:bottom w:val="dashed" w:sz="6" w:space="0" w:color="auto"/>
              <w:end w:val="dashed" w:sz="6" w:space="0" w:color="auto"/>
            </w:tcBorders>
          </w:tcPr>
          <w:p>
            <w:pPr>
              <w:pStyle w:val="Normal"/>
              <w:snapToGrid w:val="false"/>
              <w:jc w:val="center"/>
              <w:rPr>
                <w:sz w:val="24"/>
                <w:szCs w:val="24"/>
              </w:rPr>
            </w:pPr>
            <w:r>
              <w:rPr>
                <w:sz w:val="24"/>
                <w:szCs w:val="24"/>
              </w:rPr>
            </w:r>
          </w:p>
        </w:tc>
        <w:tc>
          <w:tcPr>
            <w:tcW w:w="360" w:type="dxa"/>
            <w:tcBorders>
              <w:top w:val="dashed" w:sz="6" w:space="0" w:color="auto"/>
              <w:start w:val="dashed" w:sz="6" w:space="0" w:color="auto"/>
              <w:bottom w:val="dashed" w:sz="6" w:space="0" w:color="auto"/>
              <w:end w:val="single" w:sz="12" w:space="0" w:color="000000"/>
            </w:tcBorders>
          </w:tcPr>
          <w:p>
            <w:pPr>
              <w:pStyle w:val="Normal"/>
              <w:snapToGrid w:val="false"/>
              <w:jc w:val="center"/>
              <w:rPr>
                <w:sz w:val="24"/>
                <w:szCs w:val="24"/>
              </w:rPr>
            </w:pPr>
            <w:r>
              <w:rPr>
                <w:sz w:val="24"/>
                <w:szCs w:val="24"/>
              </w:rPr>
            </w:r>
          </w:p>
        </w:tc>
      </w:tr>
      <w:tr>
        <w:trPr/>
        <w:tc>
          <w:tcPr>
            <w:tcW w:w="1998" w:type="dxa"/>
            <w:tcBorders>
              <w:top w:val="dashed" w:sz="6" w:space="0" w:color="auto"/>
              <w:start w:val="single" w:sz="12" w:space="0" w:color="000000"/>
              <w:bottom w:val="dashed" w:sz="6" w:space="0" w:color="auto"/>
              <w:end w:val="dashed" w:sz="6" w:space="0" w:color="auto"/>
            </w:tcBorders>
          </w:tcPr>
          <w:p>
            <w:pPr>
              <w:pStyle w:val="Normal"/>
              <w:rPr/>
            </w:pPr>
            <w:r>
              <w:rPr>
                <w:b/>
                <w:bCs/>
                <w:sz w:val="24"/>
                <w:szCs w:val="24"/>
              </w:rPr>
              <w:t>La Paloma</w:t>
            </w:r>
            <w:r>
              <w:rPr>
                <w:sz w:val="24"/>
                <w:szCs w:val="24"/>
              </w:rPr>
              <w:t>/</w:t>
            </w:r>
          </w:p>
          <w:p>
            <w:pPr>
              <w:pStyle w:val="Normal"/>
              <w:jc w:val="center"/>
              <w:rPr>
                <w:sz w:val="24"/>
                <w:szCs w:val="24"/>
              </w:rPr>
            </w:pPr>
            <w:r>
              <w:rPr>
                <w:sz w:val="24"/>
                <w:szCs w:val="24"/>
              </w:rPr>
              <w:t xml:space="preserve"> </w:t>
            </w:r>
            <w:r>
              <w:rPr>
                <w:sz w:val="24"/>
                <w:szCs w:val="24"/>
              </w:rPr>
              <w:t>PG&amp;E NEG</w:t>
            </w:r>
          </w:p>
        </w:tc>
        <w:tc>
          <w:tcPr>
            <w:tcW w:w="1387"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McKittrick/</w:t>
            </w:r>
          </w:p>
          <w:p>
            <w:pPr>
              <w:pStyle w:val="Normal"/>
              <w:jc w:val="center"/>
              <w:rPr>
                <w:sz w:val="24"/>
                <w:szCs w:val="24"/>
              </w:rPr>
            </w:pPr>
            <w:r>
              <w:rPr>
                <w:sz w:val="24"/>
                <w:szCs w:val="24"/>
              </w:rPr>
              <w:t>SoCalGas</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Approved</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1048</w:t>
            </w:r>
          </w:p>
        </w:tc>
        <w:tc>
          <w:tcPr>
            <w:tcW w:w="163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160</w:t>
            </w:r>
          </w:p>
          <w:p>
            <w:pPr>
              <w:pStyle w:val="Normal"/>
              <w:jc w:val="center"/>
              <w:rPr>
                <w:sz w:val="24"/>
                <w:szCs w:val="24"/>
              </w:rPr>
            </w:pPr>
            <w:r>
              <w:rPr>
                <w:sz w:val="24"/>
                <w:szCs w:val="24"/>
              </w:rPr>
              <w:t>Kern/Mojave</w:t>
            </w:r>
          </w:p>
        </w:tc>
        <w:tc>
          <w:tcPr>
            <w:tcW w:w="360" w:type="dxa"/>
            <w:tcBorders>
              <w:top w:val="dashed" w:sz="6" w:space="0" w:color="auto"/>
              <w:start w:val="dashed" w:sz="6" w:space="0" w:color="auto"/>
              <w:bottom w:val="dashed" w:sz="6" w:space="0" w:color="auto"/>
              <w:end w:val="single" w:sz="12"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tc>
      </w:tr>
      <w:tr>
        <w:trPr/>
        <w:tc>
          <w:tcPr>
            <w:tcW w:w="1998" w:type="dxa"/>
            <w:tcBorders>
              <w:top w:val="dashed" w:sz="6" w:space="0" w:color="auto"/>
              <w:start w:val="single" w:sz="12" w:space="0" w:color="000000"/>
              <w:bottom w:val="dashed" w:sz="6" w:space="0" w:color="auto"/>
              <w:end w:val="dashed" w:sz="6" w:space="0" w:color="auto"/>
            </w:tcBorders>
          </w:tcPr>
          <w:p>
            <w:pPr>
              <w:pStyle w:val="Normal"/>
              <w:rPr/>
            </w:pPr>
            <w:r>
              <w:rPr>
                <w:b/>
                <w:bCs/>
                <w:sz w:val="24"/>
                <w:szCs w:val="24"/>
              </w:rPr>
              <w:t>Sunrise</w:t>
            </w:r>
            <w:r>
              <w:rPr>
                <w:sz w:val="24"/>
                <w:szCs w:val="24"/>
              </w:rPr>
              <w:t>/</w:t>
            </w:r>
          </w:p>
          <w:p>
            <w:pPr>
              <w:pStyle w:val="Normal"/>
              <w:jc w:val="center"/>
              <w:rPr>
                <w:sz w:val="24"/>
                <w:szCs w:val="24"/>
              </w:rPr>
            </w:pPr>
            <w:r>
              <w:rPr>
                <w:sz w:val="24"/>
                <w:szCs w:val="24"/>
              </w:rPr>
              <w:t xml:space="preserve">Texaco Global </w:t>
            </w:r>
          </w:p>
        </w:tc>
        <w:tc>
          <w:tcPr>
            <w:tcW w:w="1387"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Fellows/</w:t>
            </w:r>
          </w:p>
          <w:p>
            <w:pPr>
              <w:pStyle w:val="Normal"/>
              <w:jc w:val="center"/>
              <w:rPr>
                <w:sz w:val="24"/>
                <w:szCs w:val="24"/>
              </w:rPr>
            </w:pPr>
            <w:r>
              <w:rPr>
                <w:sz w:val="24"/>
                <w:szCs w:val="24"/>
              </w:rPr>
              <w:t>SoCalGas</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Approved</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300</w:t>
            </w:r>
          </w:p>
        </w:tc>
        <w:tc>
          <w:tcPr>
            <w:tcW w:w="163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50</w:t>
            </w:r>
          </w:p>
          <w:p>
            <w:pPr>
              <w:pStyle w:val="Normal"/>
              <w:jc w:val="center"/>
              <w:rPr>
                <w:sz w:val="24"/>
                <w:szCs w:val="24"/>
              </w:rPr>
            </w:pPr>
            <w:r>
              <w:rPr>
                <w:sz w:val="24"/>
                <w:szCs w:val="24"/>
              </w:rPr>
              <w:t>Kern/Mojave</w:t>
            </w:r>
          </w:p>
        </w:tc>
        <w:tc>
          <w:tcPr>
            <w:tcW w:w="360" w:type="dxa"/>
            <w:tcBorders>
              <w:top w:val="dashed" w:sz="6" w:space="0" w:color="auto"/>
              <w:start w:val="dashed" w:sz="6" w:space="0" w:color="auto"/>
              <w:bottom w:val="dashed" w:sz="6" w:space="0" w:color="auto"/>
              <w:end w:val="single" w:sz="12"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tc>
      </w:tr>
      <w:tr>
        <w:trPr/>
        <w:tc>
          <w:tcPr>
            <w:tcW w:w="1998" w:type="dxa"/>
            <w:tcBorders>
              <w:top w:val="dashed" w:sz="6" w:space="0" w:color="auto"/>
              <w:start w:val="single" w:sz="12" w:space="0" w:color="000000"/>
              <w:bottom w:val="dashed" w:sz="6" w:space="0" w:color="auto"/>
              <w:end w:val="dashed" w:sz="6" w:space="0" w:color="auto"/>
            </w:tcBorders>
          </w:tcPr>
          <w:p>
            <w:pPr>
              <w:pStyle w:val="Normal"/>
              <w:ind w:end="-198"/>
              <w:rPr/>
            </w:pPr>
            <w:r>
              <w:rPr>
                <w:b/>
                <w:bCs/>
                <w:sz w:val="24"/>
                <w:szCs w:val="24"/>
              </w:rPr>
              <w:t>Elk Hills</w:t>
            </w:r>
            <w:r>
              <w:rPr>
                <w:sz w:val="24"/>
                <w:szCs w:val="24"/>
              </w:rPr>
              <w:t>/</w:t>
            </w:r>
          </w:p>
          <w:p>
            <w:pPr>
              <w:pStyle w:val="Normal"/>
              <w:jc w:val="center"/>
              <w:rPr>
                <w:sz w:val="24"/>
                <w:szCs w:val="24"/>
              </w:rPr>
            </w:pPr>
            <w:r>
              <w:rPr>
                <w:sz w:val="24"/>
                <w:szCs w:val="24"/>
              </w:rPr>
              <w:t>Sempra &amp; Occidental</w:t>
            </w:r>
          </w:p>
        </w:tc>
        <w:tc>
          <w:tcPr>
            <w:tcW w:w="1387"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McKittrick/</w:t>
            </w:r>
          </w:p>
          <w:p>
            <w:pPr>
              <w:pStyle w:val="Normal"/>
              <w:jc w:val="center"/>
              <w:rPr>
                <w:sz w:val="24"/>
                <w:szCs w:val="24"/>
              </w:rPr>
            </w:pPr>
            <w:r>
              <w:rPr>
                <w:sz w:val="24"/>
                <w:szCs w:val="24"/>
              </w:rPr>
              <w:t>SoCalGas</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Approved</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500</w:t>
            </w:r>
          </w:p>
        </w:tc>
        <w:tc>
          <w:tcPr>
            <w:tcW w:w="163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80</w:t>
            </w:r>
          </w:p>
          <w:p>
            <w:pPr>
              <w:pStyle w:val="Normal"/>
              <w:jc w:val="center"/>
              <w:rPr>
                <w:sz w:val="24"/>
                <w:szCs w:val="24"/>
              </w:rPr>
            </w:pPr>
            <w:r>
              <w:rPr>
                <w:sz w:val="24"/>
                <w:szCs w:val="24"/>
              </w:rPr>
              <w:t>Kern/Mojave</w:t>
            </w:r>
          </w:p>
          <w:p>
            <w:pPr>
              <w:pStyle w:val="Normal"/>
              <w:jc w:val="center"/>
              <w:rPr>
                <w:sz w:val="24"/>
                <w:szCs w:val="24"/>
              </w:rPr>
            </w:pPr>
            <w:r>
              <w:rPr>
                <w:sz w:val="24"/>
                <w:szCs w:val="24"/>
              </w:rPr>
            </w:r>
          </w:p>
        </w:tc>
        <w:tc>
          <w:tcPr>
            <w:tcW w:w="360" w:type="dxa"/>
            <w:tcBorders>
              <w:top w:val="dashed" w:sz="6" w:space="0" w:color="auto"/>
              <w:start w:val="dashed" w:sz="6" w:space="0" w:color="auto"/>
              <w:bottom w:val="dashed" w:sz="6" w:space="0" w:color="auto"/>
              <w:end w:val="single" w:sz="12"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tc>
      </w:tr>
      <w:tr>
        <w:trPr/>
        <w:tc>
          <w:tcPr>
            <w:tcW w:w="1998" w:type="dxa"/>
            <w:tcBorders>
              <w:top w:val="dashed" w:sz="6" w:space="0" w:color="auto"/>
              <w:start w:val="single" w:sz="12" w:space="0" w:color="000000"/>
              <w:bottom w:val="dashed" w:sz="6" w:space="0" w:color="auto"/>
              <w:end w:val="dashed" w:sz="6" w:space="0" w:color="auto"/>
            </w:tcBorders>
          </w:tcPr>
          <w:p>
            <w:pPr>
              <w:pStyle w:val="Normal"/>
              <w:rPr>
                <w:b/>
                <w:bCs/>
                <w:sz w:val="24"/>
                <w:szCs w:val="24"/>
              </w:rPr>
            </w:pPr>
            <w:r>
              <w:rPr>
                <w:b/>
                <w:bCs/>
                <w:sz w:val="24"/>
                <w:szCs w:val="24"/>
              </w:rPr>
              <w:t>Sunset/</w:t>
            </w:r>
          </w:p>
          <w:p>
            <w:pPr>
              <w:pStyle w:val="Normal"/>
              <w:jc w:val="center"/>
              <w:rPr>
                <w:sz w:val="24"/>
                <w:szCs w:val="24"/>
              </w:rPr>
            </w:pPr>
            <w:r>
              <w:rPr>
                <w:sz w:val="24"/>
                <w:szCs w:val="24"/>
              </w:rPr>
              <w:t>Mission Energy</w:t>
            </w:r>
          </w:p>
          <w:p>
            <w:pPr>
              <w:pStyle w:val="Normal"/>
              <w:jc w:val="center"/>
              <w:rPr>
                <w:sz w:val="24"/>
                <w:szCs w:val="24"/>
              </w:rPr>
            </w:pPr>
            <w:r>
              <w:rPr>
                <w:sz w:val="24"/>
                <w:szCs w:val="24"/>
              </w:rPr>
            </w:r>
          </w:p>
          <w:p>
            <w:pPr>
              <w:pStyle w:val="Normal"/>
              <w:jc w:val="end"/>
              <w:rPr>
                <w:sz w:val="24"/>
                <w:szCs w:val="24"/>
              </w:rPr>
            </w:pPr>
            <w:r>
              <w:rPr>
                <w:b/>
                <w:bCs/>
                <w:sz w:val="24"/>
                <w:szCs w:val="24"/>
              </w:rPr>
              <w:t>Subtotal</w:t>
            </w:r>
          </w:p>
          <w:p>
            <w:pPr>
              <w:pStyle w:val="Normal"/>
              <w:jc w:val="center"/>
              <w:rPr>
                <w:sz w:val="24"/>
                <w:szCs w:val="24"/>
              </w:rPr>
            </w:pPr>
            <w:r>
              <w:rPr>
                <w:sz w:val="24"/>
                <w:szCs w:val="24"/>
              </w:rPr>
            </w:r>
          </w:p>
          <w:p>
            <w:pPr>
              <w:pStyle w:val="Normal"/>
              <w:rPr>
                <w:sz w:val="24"/>
                <w:szCs w:val="24"/>
              </w:rPr>
            </w:pPr>
            <w:r>
              <w:rPr>
                <w:b/>
                <w:bCs/>
                <w:sz w:val="24"/>
                <w:szCs w:val="24"/>
                <w:u w:val="single"/>
              </w:rPr>
              <w:t>Others</w:t>
            </w:r>
          </w:p>
        </w:tc>
        <w:tc>
          <w:tcPr>
            <w:tcW w:w="1387"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Fellows/</w:t>
            </w:r>
          </w:p>
          <w:p>
            <w:pPr>
              <w:pStyle w:val="Normal"/>
              <w:jc w:val="center"/>
              <w:rPr>
                <w:sz w:val="24"/>
                <w:szCs w:val="24"/>
              </w:rPr>
            </w:pPr>
            <w:r>
              <w:rPr>
                <w:sz w:val="24"/>
                <w:szCs w:val="24"/>
              </w:rPr>
              <w:t>SoCalGas</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Approved</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500</w:t>
            </w:r>
          </w:p>
          <w:p>
            <w:pPr>
              <w:pStyle w:val="Normal"/>
              <w:jc w:val="center"/>
              <w:rPr>
                <w:sz w:val="24"/>
                <w:szCs w:val="24"/>
              </w:rPr>
            </w:pPr>
            <w:r>
              <w:rPr/>
              <w:t xml:space="preserve">   </w:t>
            </w:r>
          </w:p>
          <w:p>
            <w:pPr>
              <w:pStyle w:val="Normal"/>
              <w:jc w:val="center"/>
              <w:rPr>
                <w:sz w:val="24"/>
                <w:szCs w:val="24"/>
              </w:rPr>
            </w:pPr>
            <w:r>
              <w:rPr>
                <w:sz w:val="24"/>
                <w:szCs w:val="24"/>
              </w:rPr>
            </w:r>
          </w:p>
          <w:p>
            <w:pPr>
              <w:pStyle w:val="Normal"/>
              <w:pBdr>
                <w:top w:val="single" w:sz="6" w:space="1" w:color="000000"/>
                <w:bottom w:val="single" w:sz="6" w:space="1" w:color="000000"/>
              </w:pBdr>
              <w:jc w:val="center"/>
              <w:rPr>
                <w:sz w:val="24"/>
                <w:szCs w:val="24"/>
              </w:rPr>
            </w:pPr>
            <w:r>
              <w:rPr>
                <w:b/>
                <w:bCs/>
                <w:sz w:val="24"/>
                <w:szCs w:val="24"/>
              </w:rPr>
              <w:t>2,348</w:t>
            </w:r>
          </w:p>
          <w:p>
            <w:pPr>
              <w:pStyle w:val="Normal"/>
              <w:jc w:val="center"/>
              <w:rPr>
                <w:sz w:val="24"/>
                <w:szCs w:val="24"/>
              </w:rPr>
            </w:pPr>
            <w:r>
              <w:rPr>
                <w:sz w:val="24"/>
                <w:szCs w:val="24"/>
              </w:rPr>
            </w:r>
          </w:p>
        </w:tc>
        <w:tc>
          <w:tcPr>
            <w:tcW w:w="163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80</w:t>
            </w:r>
          </w:p>
          <w:p>
            <w:pPr>
              <w:pStyle w:val="Normal"/>
              <w:jc w:val="center"/>
              <w:rPr>
                <w:sz w:val="24"/>
                <w:szCs w:val="24"/>
              </w:rPr>
            </w:pPr>
            <w:r>
              <w:rPr>
                <w:sz w:val="24"/>
                <w:szCs w:val="24"/>
              </w:rPr>
              <w:t>Kern/Mojave</w:t>
            </w:r>
          </w:p>
          <w:p>
            <w:pPr>
              <w:pStyle w:val="Normal"/>
              <w:jc w:val="center"/>
              <w:rPr>
                <w:sz w:val="24"/>
                <w:szCs w:val="24"/>
              </w:rPr>
            </w:pPr>
            <w:r>
              <w:rPr>
                <w:sz w:val="24"/>
                <w:szCs w:val="24"/>
              </w:rPr>
            </w:r>
          </w:p>
          <w:p>
            <w:pPr>
              <w:pStyle w:val="Normal"/>
              <w:pBdr>
                <w:top w:val="single" w:sz="6" w:space="1" w:color="000000"/>
                <w:bottom w:val="single" w:sz="6" w:space="1" w:color="000000"/>
              </w:pBdr>
              <w:jc w:val="center"/>
              <w:rPr>
                <w:b/>
                <w:bCs/>
                <w:sz w:val="24"/>
                <w:szCs w:val="24"/>
              </w:rPr>
            </w:pPr>
            <w:r>
              <w:rPr>
                <w:b/>
                <w:bCs/>
                <w:sz w:val="24"/>
                <w:szCs w:val="24"/>
              </w:rPr>
              <w:t>370</w:t>
            </w:r>
          </w:p>
          <w:p>
            <w:pPr>
              <w:pStyle w:val="Normal"/>
              <w:jc w:val="center"/>
              <w:rPr>
                <w:b/>
                <w:bCs/>
                <w:sz w:val="24"/>
                <w:szCs w:val="24"/>
              </w:rPr>
            </w:pPr>
            <w:r>
              <w:rPr>
                <w:b/>
                <w:bCs/>
                <w:sz w:val="24"/>
                <w:szCs w:val="24"/>
              </w:rPr>
            </w:r>
          </w:p>
        </w:tc>
        <w:tc>
          <w:tcPr>
            <w:tcW w:w="360" w:type="dxa"/>
            <w:tcBorders>
              <w:top w:val="dashed" w:sz="6" w:space="0" w:color="auto"/>
              <w:start w:val="dashed" w:sz="6" w:space="0" w:color="auto"/>
              <w:bottom w:val="dashed" w:sz="6" w:space="0" w:color="auto"/>
              <w:end w:val="single" w:sz="12"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tc>
      </w:tr>
      <w:tr>
        <w:trPr/>
        <w:tc>
          <w:tcPr>
            <w:tcW w:w="1998" w:type="dxa"/>
            <w:tcBorders>
              <w:top w:val="dashed" w:sz="6" w:space="0" w:color="auto"/>
              <w:start w:val="single" w:sz="12" w:space="0" w:color="000000"/>
              <w:bottom w:val="dashed" w:sz="6" w:space="0" w:color="auto"/>
              <w:end w:val="dashed" w:sz="6" w:space="0" w:color="auto"/>
            </w:tcBorders>
          </w:tcPr>
          <w:p>
            <w:pPr>
              <w:pStyle w:val="Normal"/>
              <w:rPr>
                <w:b/>
                <w:bCs/>
                <w:sz w:val="24"/>
                <w:szCs w:val="24"/>
              </w:rPr>
            </w:pPr>
            <w:r>
              <w:rPr>
                <w:b/>
                <w:bCs/>
                <w:sz w:val="24"/>
                <w:szCs w:val="24"/>
              </w:rPr>
              <w:t>High Desert/</w:t>
            </w:r>
          </w:p>
          <w:p>
            <w:pPr>
              <w:pStyle w:val="Normal"/>
              <w:jc w:val="center"/>
              <w:rPr>
                <w:sz w:val="24"/>
                <w:szCs w:val="24"/>
              </w:rPr>
            </w:pPr>
            <w:r>
              <w:rPr>
                <w:sz w:val="24"/>
                <w:szCs w:val="24"/>
              </w:rPr>
              <w:t>Inland Energy &amp; Constellation Power</w:t>
            </w:r>
          </w:p>
        </w:tc>
        <w:tc>
          <w:tcPr>
            <w:tcW w:w="1387"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Victorville/</w:t>
            </w:r>
          </w:p>
          <w:p>
            <w:pPr>
              <w:pStyle w:val="Normal"/>
              <w:jc w:val="center"/>
              <w:rPr>
                <w:sz w:val="24"/>
                <w:szCs w:val="24"/>
              </w:rPr>
            </w:pPr>
            <w:r>
              <w:rPr>
                <w:sz w:val="24"/>
                <w:szCs w:val="24"/>
              </w:rPr>
              <w:t>S.W.Gas</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Approved</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720</w:t>
            </w:r>
          </w:p>
        </w:tc>
        <w:tc>
          <w:tcPr>
            <w:tcW w:w="163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130</w:t>
            </w:r>
          </w:p>
          <w:p>
            <w:pPr>
              <w:pStyle w:val="Normal"/>
              <w:jc w:val="center"/>
              <w:rPr>
                <w:sz w:val="24"/>
                <w:szCs w:val="24"/>
              </w:rPr>
            </w:pPr>
            <w:r>
              <w:rPr>
                <w:sz w:val="24"/>
                <w:szCs w:val="24"/>
              </w:rPr>
              <w:t>SoCalGas, Kern/Mojave, or PG&amp;E</w:t>
            </w:r>
            <w:r>
              <w:rPr/>
              <w:t xml:space="preserve"> </w:t>
            </w:r>
          </w:p>
        </w:tc>
        <w:tc>
          <w:tcPr>
            <w:tcW w:w="360" w:type="dxa"/>
            <w:tcBorders>
              <w:top w:val="dashed" w:sz="6" w:space="0" w:color="auto"/>
              <w:start w:val="dashed" w:sz="6" w:space="0" w:color="auto"/>
              <w:bottom w:val="dashed" w:sz="6" w:space="0" w:color="auto"/>
              <w:end w:val="single" w:sz="12"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tc>
      </w:tr>
      <w:tr>
        <w:trPr/>
        <w:tc>
          <w:tcPr>
            <w:tcW w:w="1998" w:type="dxa"/>
            <w:tcBorders>
              <w:top w:val="dashed" w:sz="6" w:space="0" w:color="auto"/>
              <w:start w:val="single" w:sz="12" w:space="0" w:color="000000"/>
              <w:bottom w:val="dashed" w:sz="6" w:space="0" w:color="auto"/>
              <w:end w:val="dashed" w:sz="6" w:space="0" w:color="auto"/>
            </w:tcBorders>
          </w:tcPr>
          <w:p>
            <w:pPr>
              <w:pStyle w:val="Normal"/>
              <w:rPr>
                <w:b/>
                <w:bCs/>
                <w:sz w:val="24"/>
                <w:szCs w:val="24"/>
              </w:rPr>
            </w:pPr>
            <w:r>
              <w:rPr>
                <w:b/>
                <w:bCs/>
                <w:sz w:val="24"/>
                <w:szCs w:val="24"/>
              </w:rPr>
              <w:t>Antelope Valley/</w:t>
            </w:r>
          </w:p>
          <w:p>
            <w:pPr>
              <w:pStyle w:val="Normal"/>
              <w:jc w:val="center"/>
              <w:rPr>
                <w:sz w:val="24"/>
                <w:szCs w:val="24"/>
              </w:rPr>
            </w:pPr>
            <w:r>
              <w:rPr>
                <w:sz w:val="24"/>
                <w:szCs w:val="24"/>
              </w:rPr>
              <w:t>Enron</w:t>
            </w:r>
          </w:p>
        </w:tc>
        <w:tc>
          <w:tcPr>
            <w:tcW w:w="1387"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California City/</w:t>
            </w:r>
          </w:p>
          <w:p>
            <w:pPr>
              <w:pStyle w:val="Normal"/>
              <w:jc w:val="center"/>
              <w:rPr>
                <w:sz w:val="24"/>
                <w:szCs w:val="24"/>
              </w:rPr>
            </w:pPr>
            <w:r>
              <w:rPr>
                <w:sz w:val="24"/>
                <w:szCs w:val="24"/>
              </w:rPr>
              <w:t>Open</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Expected</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1,000</w:t>
            </w:r>
          </w:p>
        </w:tc>
        <w:tc>
          <w:tcPr>
            <w:tcW w:w="163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180</w:t>
            </w:r>
          </w:p>
          <w:p>
            <w:pPr>
              <w:pStyle w:val="Normal"/>
              <w:jc w:val="center"/>
              <w:rPr>
                <w:sz w:val="24"/>
                <w:szCs w:val="24"/>
              </w:rPr>
            </w:pPr>
            <w:r>
              <w:rPr>
                <w:sz w:val="24"/>
                <w:szCs w:val="24"/>
              </w:rPr>
              <w:t>Kern/Mojave</w:t>
            </w:r>
          </w:p>
        </w:tc>
        <w:tc>
          <w:tcPr>
            <w:tcW w:w="360" w:type="dxa"/>
            <w:tcBorders>
              <w:top w:val="dashed" w:sz="6" w:space="0" w:color="auto"/>
              <w:start w:val="dashed" w:sz="6" w:space="0" w:color="auto"/>
              <w:bottom w:val="dashed" w:sz="6" w:space="0" w:color="auto"/>
              <w:end w:val="single" w:sz="12"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tc>
      </w:tr>
      <w:tr>
        <w:trPr/>
        <w:tc>
          <w:tcPr>
            <w:tcW w:w="1998" w:type="dxa"/>
            <w:tcBorders>
              <w:top w:val="dashed" w:sz="6" w:space="0" w:color="auto"/>
              <w:start w:val="single" w:sz="12" w:space="0" w:color="000000"/>
              <w:bottom w:val="dashed" w:sz="6" w:space="0" w:color="auto"/>
              <w:end w:val="dashed" w:sz="6" w:space="0" w:color="auto"/>
            </w:tcBorders>
          </w:tcPr>
          <w:p>
            <w:pPr>
              <w:pStyle w:val="Normal"/>
              <w:rPr>
                <w:b/>
                <w:bCs/>
                <w:sz w:val="24"/>
                <w:szCs w:val="24"/>
              </w:rPr>
            </w:pPr>
            <w:r>
              <w:rPr>
                <w:b/>
                <w:bCs/>
                <w:sz w:val="24"/>
                <w:szCs w:val="24"/>
              </w:rPr>
              <w:t>Pastoria/</w:t>
            </w:r>
          </w:p>
          <w:p>
            <w:pPr>
              <w:pStyle w:val="Normal"/>
              <w:jc w:val="center"/>
              <w:rPr>
                <w:sz w:val="24"/>
                <w:szCs w:val="24"/>
              </w:rPr>
            </w:pPr>
            <w:r>
              <w:rPr>
                <w:sz w:val="24"/>
                <w:szCs w:val="24"/>
              </w:rPr>
              <w:t>Calpine</w:t>
            </w:r>
          </w:p>
        </w:tc>
        <w:tc>
          <w:tcPr>
            <w:tcW w:w="1387"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Tejon Ranch/</w:t>
            </w:r>
          </w:p>
          <w:p>
            <w:pPr>
              <w:pStyle w:val="Normal"/>
              <w:jc w:val="center"/>
              <w:rPr>
                <w:sz w:val="24"/>
                <w:szCs w:val="24"/>
              </w:rPr>
            </w:pPr>
            <w:r>
              <w:rPr>
                <w:sz w:val="24"/>
                <w:szCs w:val="24"/>
              </w:rPr>
              <w:t>SoCalGas</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Filed</w:t>
            </w:r>
          </w:p>
        </w:tc>
        <w:tc>
          <w:tcPr>
            <w:tcW w:w="137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750</w:t>
            </w:r>
          </w:p>
        </w:tc>
        <w:tc>
          <w:tcPr>
            <w:tcW w:w="1631" w:type="dxa"/>
            <w:tcBorders>
              <w:top w:val="dashed" w:sz="6" w:space="0" w:color="auto"/>
              <w:start w:val="dashed" w:sz="6" w:space="0" w:color="auto"/>
              <w:bottom w:val="dashed" w:sz="6" w:space="0" w:color="auto"/>
              <w:end w:val="dashed" w:sz="6" w:space="0" w:color="auto"/>
            </w:tcBorders>
          </w:tcPr>
          <w:p>
            <w:pPr>
              <w:pStyle w:val="Normal"/>
              <w:jc w:val="center"/>
              <w:rPr>
                <w:sz w:val="24"/>
                <w:szCs w:val="24"/>
              </w:rPr>
            </w:pPr>
            <w:r>
              <w:rPr>
                <w:sz w:val="24"/>
                <w:szCs w:val="24"/>
              </w:rPr>
              <w:t>130</w:t>
            </w:r>
          </w:p>
          <w:p>
            <w:pPr>
              <w:pStyle w:val="Normal"/>
              <w:jc w:val="center"/>
              <w:rPr>
                <w:sz w:val="24"/>
                <w:szCs w:val="24"/>
              </w:rPr>
            </w:pPr>
            <w:r>
              <w:rPr>
                <w:sz w:val="24"/>
                <w:szCs w:val="24"/>
              </w:rPr>
              <w:t>Kern/Mojave</w:t>
            </w:r>
          </w:p>
        </w:tc>
        <w:tc>
          <w:tcPr>
            <w:tcW w:w="360" w:type="dxa"/>
            <w:tcBorders>
              <w:top w:val="dashed" w:sz="6" w:space="0" w:color="auto"/>
              <w:start w:val="dashed" w:sz="6" w:space="0" w:color="auto"/>
              <w:bottom w:val="dashed" w:sz="6" w:space="0" w:color="auto"/>
              <w:end w:val="single" w:sz="12" w:space="0" w:color="000000"/>
            </w:tcBorders>
          </w:tcPr>
          <w:p>
            <w:pPr>
              <w:pStyle w:val="Normal"/>
              <w:snapToGrid w:val="false"/>
              <w:jc w:val="center"/>
              <w:rPr>
                <w:sz w:val="24"/>
                <w:szCs w:val="24"/>
              </w:rPr>
            </w:pPr>
            <w:r>
              <w:rPr>
                <w:sz w:val="24"/>
                <w:szCs w:val="24"/>
              </w:rPr>
            </w:r>
          </w:p>
        </w:tc>
      </w:tr>
      <w:tr>
        <w:trPr/>
        <w:tc>
          <w:tcPr>
            <w:tcW w:w="1998" w:type="dxa"/>
            <w:tcBorders>
              <w:top w:val="dashed" w:sz="6" w:space="0" w:color="auto"/>
              <w:start w:val="single" w:sz="12" w:space="0" w:color="000000"/>
              <w:bottom w:val="dashed" w:sz="6" w:space="0" w:color="auto"/>
              <w:end w:val="dashed" w:sz="6" w:space="0" w:color="auto"/>
            </w:tcBorders>
          </w:tcPr>
          <w:p>
            <w:pPr>
              <w:pStyle w:val="Normal"/>
              <w:snapToGrid w:val="false"/>
              <w:jc w:val="center"/>
              <w:rPr>
                <w:sz w:val="24"/>
                <w:szCs w:val="24"/>
              </w:rPr>
            </w:pPr>
            <w:r>
              <w:rPr>
                <w:sz w:val="24"/>
                <w:szCs w:val="24"/>
              </w:rPr>
            </w:r>
          </w:p>
          <w:p>
            <w:pPr>
              <w:pStyle w:val="Normal"/>
              <w:jc w:val="end"/>
              <w:rPr>
                <w:sz w:val="24"/>
                <w:szCs w:val="24"/>
              </w:rPr>
            </w:pPr>
            <w:r>
              <w:rPr>
                <w:b/>
                <w:bCs/>
                <w:sz w:val="24"/>
                <w:szCs w:val="24"/>
              </w:rPr>
              <w:t>Subtotal</w:t>
            </w:r>
          </w:p>
        </w:tc>
        <w:tc>
          <w:tcPr>
            <w:tcW w:w="1387" w:type="dxa"/>
            <w:tcBorders>
              <w:top w:val="dashed" w:sz="6" w:space="0" w:color="auto"/>
              <w:start w:val="dashed" w:sz="6" w:space="0" w:color="auto"/>
              <w:bottom w:val="dashed" w:sz="6" w:space="0" w:color="auto"/>
              <w:end w:val="dashed" w:sz="6" w:space="0" w:color="auto"/>
            </w:tcBorders>
          </w:tcPr>
          <w:p>
            <w:pPr>
              <w:pStyle w:val="Normal"/>
              <w:snapToGrid w:val="false"/>
              <w:jc w:val="center"/>
              <w:rPr>
                <w:sz w:val="24"/>
                <w:szCs w:val="24"/>
              </w:rPr>
            </w:pPr>
            <w:r>
              <w:rPr>
                <w:sz w:val="24"/>
                <w:szCs w:val="24"/>
              </w:rPr>
            </w:r>
          </w:p>
        </w:tc>
        <w:tc>
          <w:tcPr>
            <w:tcW w:w="1371" w:type="dxa"/>
            <w:tcBorders>
              <w:top w:val="dashed" w:sz="6" w:space="0" w:color="auto"/>
              <w:start w:val="dashed" w:sz="6" w:space="0" w:color="auto"/>
              <w:bottom w:val="dashed" w:sz="6" w:space="0" w:color="auto"/>
              <w:end w:val="dashed" w:sz="6" w:space="0" w:color="auto"/>
            </w:tcBorders>
          </w:tcPr>
          <w:p>
            <w:pPr>
              <w:pStyle w:val="Normal"/>
              <w:snapToGrid w:val="false"/>
              <w:jc w:val="center"/>
              <w:rPr>
                <w:sz w:val="24"/>
                <w:szCs w:val="24"/>
              </w:rPr>
            </w:pPr>
            <w:r>
              <w:rPr>
                <w:sz w:val="24"/>
                <w:szCs w:val="24"/>
              </w:rPr>
            </w:r>
          </w:p>
        </w:tc>
        <w:tc>
          <w:tcPr>
            <w:tcW w:w="1371" w:type="dxa"/>
            <w:tcBorders>
              <w:top w:val="dashed" w:sz="6" w:space="0" w:color="auto"/>
              <w:start w:val="dashed" w:sz="6" w:space="0" w:color="auto"/>
              <w:bottom w:val="dashed" w:sz="6" w:space="0" w:color="auto"/>
              <w:end w:val="dashed" w:sz="6" w:space="0" w:color="auto"/>
            </w:tcBorders>
          </w:tcPr>
          <w:p>
            <w:pPr>
              <w:pStyle w:val="Normal"/>
              <w:snapToGrid w:val="false"/>
              <w:jc w:val="center"/>
              <w:rPr>
                <w:b/>
                <w:bCs/>
                <w:sz w:val="24"/>
                <w:szCs w:val="24"/>
              </w:rPr>
            </w:pPr>
            <w:r>
              <w:rPr>
                <w:b/>
                <w:bCs/>
                <w:sz w:val="24"/>
                <w:szCs w:val="24"/>
              </w:rPr>
            </w:r>
          </w:p>
          <w:p>
            <w:pPr>
              <w:pStyle w:val="Normal"/>
              <w:pBdr>
                <w:top w:val="single" w:sz="6" w:space="1" w:color="000000"/>
                <w:bottom w:val="single" w:sz="6" w:space="1" w:color="000000"/>
              </w:pBdr>
              <w:jc w:val="center"/>
              <w:rPr>
                <w:b/>
                <w:bCs/>
                <w:sz w:val="24"/>
                <w:szCs w:val="24"/>
              </w:rPr>
            </w:pPr>
            <w:r>
              <w:rPr>
                <w:b/>
                <w:bCs/>
                <w:sz w:val="24"/>
                <w:szCs w:val="24"/>
              </w:rPr>
              <w:t>2,470</w:t>
            </w:r>
          </w:p>
          <w:p>
            <w:pPr>
              <w:pStyle w:val="Normal"/>
              <w:jc w:val="center"/>
              <w:rPr>
                <w:b/>
                <w:bCs/>
                <w:sz w:val="24"/>
                <w:szCs w:val="24"/>
              </w:rPr>
            </w:pPr>
            <w:r>
              <w:rPr>
                <w:b/>
                <w:bCs/>
                <w:sz w:val="24"/>
                <w:szCs w:val="24"/>
              </w:rPr>
            </w:r>
          </w:p>
        </w:tc>
        <w:tc>
          <w:tcPr>
            <w:tcW w:w="1631" w:type="dxa"/>
            <w:tcBorders>
              <w:top w:val="dashed" w:sz="6" w:space="0" w:color="auto"/>
              <w:start w:val="dashed" w:sz="6" w:space="0" w:color="auto"/>
              <w:bottom w:val="dashed" w:sz="6" w:space="0" w:color="auto"/>
              <w:end w:val="dashed" w:sz="6" w:space="0" w:color="auto"/>
            </w:tcBorders>
          </w:tcPr>
          <w:p>
            <w:pPr>
              <w:pStyle w:val="Normal"/>
              <w:snapToGrid w:val="false"/>
              <w:jc w:val="center"/>
              <w:rPr>
                <w:b/>
                <w:bCs/>
                <w:sz w:val="24"/>
                <w:szCs w:val="24"/>
              </w:rPr>
            </w:pPr>
            <w:r>
              <w:rPr>
                <w:b/>
                <w:bCs/>
                <w:sz w:val="24"/>
                <w:szCs w:val="24"/>
              </w:rPr>
            </w:r>
          </w:p>
          <w:p>
            <w:pPr>
              <w:pStyle w:val="Normal"/>
              <w:pBdr>
                <w:top w:val="single" w:sz="6" w:space="1" w:color="000000"/>
                <w:bottom w:val="single" w:sz="6" w:space="1" w:color="000000"/>
              </w:pBdr>
              <w:jc w:val="center"/>
              <w:rPr>
                <w:b/>
                <w:bCs/>
                <w:sz w:val="24"/>
                <w:szCs w:val="24"/>
              </w:rPr>
            </w:pPr>
            <w:r>
              <w:rPr>
                <w:b/>
                <w:bCs/>
                <w:sz w:val="24"/>
                <w:szCs w:val="24"/>
              </w:rPr>
              <w:t>440</w:t>
            </w:r>
          </w:p>
          <w:p>
            <w:pPr>
              <w:pStyle w:val="Normal"/>
              <w:jc w:val="center"/>
              <w:rPr>
                <w:b/>
                <w:bCs/>
                <w:sz w:val="24"/>
                <w:szCs w:val="24"/>
              </w:rPr>
            </w:pPr>
            <w:r>
              <w:rPr>
                <w:b/>
                <w:bCs/>
                <w:sz w:val="24"/>
                <w:szCs w:val="24"/>
              </w:rPr>
            </w:r>
          </w:p>
        </w:tc>
        <w:tc>
          <w:tcPr>
            <w:tcW w:w="360" w:type="dxa"/>
            <w:tcBorders>
              <w:top w:val="dashed" w:sz="6" w:space="0" w:color="auto"/>
              <w:start w:val="dashed" w:sz="6" w:space="0" w:color="auto"/>
              <w:bottom w:val="dashed" w:sz="6" w:space="0" w:color="auto"/>
              <w:end w:val="single" w:sz="12" w:space="0" w:color="000000"/>
            </w:tcBorders>
          </w:tcPr>
          <w:p>
            <w:pPr>
              <w:pStyle w:val="Normal"/>
              <w:snapToGrid w:val="false"/>
              <w:jc w:val="center"/>
              <w:rPr>
                <w:b/>
                <w:bCs/>
                <w:sz w:val="24"/>
                <w:szCs w:val="24"/>
              </w:rPr>
            </w:pPr>
            <w:r>
              <w:rPr>
                <w:b/>
                <w:bCs/>
                <w:sz w:val="24"/>
                <w:szCs w:val="24"/>
              </w:rPr>
            </w:r>
          </w:p>
        </w:tc>
      </w:tr>
      <w:tr>
        <w:trPr/>
        <w:tc>
          <w:tcPr>
            <w:tcW w:w="1998" w:type="dxa"/>
            <w:tcBorders>
              <w:top w:val="dashed" w:sz="6" w:space="0" w:color="auto"/>
              <w:start w:val="single" w:sz="12" w:space="0" w:color="000000"/>
              <w:bottom w:val="single" w:sz="12" w:space="0" w:color="000000"/>
              <w:end w:val="dashed" w:sz="6" w:space="0" w:color="auto"/>
            </w:tcBorders>
          </w:tcPr>
          <w:p>
            <w:pPr>
              <w:pStyle w:val="Normal"/>
              <w:ind w:end="-108"/>
              <w:jc w:val="end"/>
              <w:rPr>
                <w:b/>
                <w:bCs/>
                <w:sz w:val="24"/>
                <w:szCs w:val="24"/>
              </w:rPr>
            </w:pPr>
            <w:r>
              <w:rPr>
                <w:b/>
                <w:bCs/>
                <w:sz w:val="24"/>
                <w:szCs w:val="24"/>
              </w:rPr>
              <w:t>Total</w:t>
            </w:r>
          </w:p>
          <w:p>
            <w:pPr>
              <w:pStyle w:val="Normal"/>
              <w:jc w:val="center"/>
              <w:rPr>
                <w:b/>
                <w:bCs/>
                <w:sz w:val="24"/>
                <w:szCs w:val="24"/>
              </w:rPr>
            </w:pPr>
            <w:r>
              <w:rPr>
                <w:b/>
                <w:bCs/>
                <w:sz w:val="24"/>
                <w:szCs w:val="24"/>
              </w:rPr>
            </w:r>
          </w:p>
        </w:tc>
        <w:tc>
          <w:tcPr>
            <w:tcW w:w="1387" w:type="dxa"/>
            <w:tcBorders>
              <w:top w:val="dashed" w:sz="6" w:space="0" w:color="auto"/>
              <w:start w:val="dashed" w:sz="6" w:space="0" w:color="auto"/>
              <w:bottom w:val="single" w:sz="12" w:space="0" w:color="000000"/>
              <w:end w:val="dashed" w:sz="6" w:space="0" w:color="auto"/>
            </w:tcBorders>
          </w:tcPr>
          <w:p>
            <w:pPr>
              <w:pStyle w:val="Normal"/>
              <w:snapToGrid w:val="false"/>
              <w:jc w:val="center"/>
              <w:rPr>
                <w:b/>
                <w:bCs/>
                <w:sz w:val="24"/>
                <w:szCs w:val="24"/>
              </w:rPr>
            </w:pPr>
            <w:r>
              <w:rPr>
                <w:b/>
                <w:bCs/>
                <w:sz w:val="24"/>
                <w:szCs w:val="24"/>
              </w:rPr>
            </w:r>
          </w:p>
        </w:tc>
        <w:tc>
          <w:tcPr>
            <w:tcW w:w="1371" w:type="dxa"/>
            <w:tcBorders>
              <w:top w:val="dashed" w:sz="6" w:space="0" w:color="auto"/>
              <w:start w:val="dashed" w:sz="6" w:space="0" w:color="auto"/>
              <w:bottom w:val="single" w:sz="12" w:space="0" w:color="000000"/>
              <w:end w:val="dashed" w:sz="6" w:space="0" w:color="auto"/>
            </w:tcBorders>
          </w:tcPr>
          <w:p>
            <w:pPr>
              <w:pStyle w:val="Normal"/>
              <w:snapToGrid w:val="false"/>
              <w:jc w:val="center"/>
              <w:rPr>
                <w:b/>
                <w:bCs/>
                <w:sz w:val="24"/>
                <w:szCs w:val="24"/>
              </w:rPr>
            </w:pPr>
            <w:r>
              <w:rPr>
                <w:b/>
                <w:bCs/>
                <w:sz w:val="24"/>
                <w:szCs w:val="24"/>
              </w:rPr>
            </w:r>
          </w:p>
        </w:tc>
        <w:tc>
          <w:tcPr>
            <w:tcW w:w="1371" w:type="dxa"/>
            <w:tcBorders>
              <w:top w:val="dashed" w:sz="6" w:space="0" w:color="auto"/>
              <w:start w:val="dashed" w:sz="6" w:space="0" w:color="auto"/>
              <w:bottom w:val="single" w:sz="12" w:space="0" w:color="000000"/>
              <w:end w:val="dashed" w:sz="6" w:space="0" w:color="auto"/>
            </w:tcBorders>
          </w:tcPr>
          <w:p>
            <w:pPr>
              <w:pStyle w:val="Normal"/>
              <w:pBdr>
                <w:bottom w:val="double" w:sz="6" w:space="1" w:color="000000"/>
              </w:pBdr>
              <w:jc w:val="center"/>
              <w:rPr>
                <w:b/>
                <w:bCs/>
                <w:sz w:val="24"/>
                <w:szCs w:val="24"/>
              </w:rPr>
            </w:pPr>
            <w:r>
              <w:rPr>
                <w:b/>
                <w:bCs/>
                <w:sz w:val="24"/>
                <w:szCs w:val="24"/>
              </w:rPr>
              <w:t>4,818</w:t>
            </w:r>
          </w:p>
          <w:p>
            <w:pPr>
              <w:pStyle w:val="Normal"/>
              <w:jc w:val="center"/>
              <w:rPr>
                <w:b/>
                <w:bCs/>
                <w:sz w:val="24"/>
                <w:szCs w:val="24"/>
              </w:rPr>
            </w:pPr>
            <w:r>
              <w:rPr>
                <w:b/>
                <w:bCs/>
                <w:sz w:val="24"/>
                <w:szCs w:val="24"/>
              </w:rPr>
            </w:r>
          </w:p>
        </w:tc>
        <w:tc>
          <w:tcPr>
            <w:tcW w:w="1631" w:type="dxa"/>
            <w:tcBorders>
              <w:top w:val="dashed" w:sz="6" w:space="0" w:color="auto"/>
              <w:start w:val="dashed" w:sz="6" w:space="0" w:color="auto"/>
              <w:bottom w:val="single" w:sz="12" w:space="0" w:color="000000"/>
              <w:end w:val="dashed" w:sz="6" w:space="0" w:color="auto"/>
            </w:tcBorders>
          </w:tcPr>
          <w:p>
            <w:pPr>
              <w:pStyle w:val="Normal"/>
              <w:pBdr>
                <w:bottom w:val="double" w:sz="6" w:space="1" w:color="000000"/>
              </w:pBdr>
              <w:jc w:val="center"/>
              <w:rPr>
                <w:b/>
                <w:bCs/>
                <w:sz w:val="24"/>
                <w:szCs w:val="24"/>
              </w:rPr>
            </w:pPr>
            <w:r>
              <w:rPr>
                <w:b/>
                <w:bCs/>
                <w:sz w:val="24"/>
                <w:szCs w:val="24"/>
              </w:rPr>
              <w:t>810</w:t>
            </w:r>
          </w:p>
          <w:p>
            <w:pPr>
              <w:pStyle w:val="Normal"/>
              <w:jc w:val="center"/>
              <w:rPr>
                <w:b/>
                <w:bCs/>
                <w:sz w:val="24"/>
                <w:szCs w:val="24"/>
              </w:rPr>
            </w:pPr>
            <w:r>
              <w:rPr>
                <w:b/>
                <w:bCs/>
                <w:sz w:val="24"/>
                <w:szCs w:val="24"/>
              </w:rPr>
            </w:r>
          </w:p>
        </w:tc>
        <w:tc>
          <w:tcPr>
            <w:tcW w:w="360" w:type="dxa"/>
            <w:tcBorders>
              <w:top w:val="dashed" w:sz="6" w:space="0" w:color="auto"/>
              <w:start w:val="dashed" w:sz="6" w:space="0" w:color="auto"/>
              <w:bottom w:val="single" w:sz="12" w:space="0" w:color="000000"/>
              <w:end w:val="single" w:sz="12" w:space="0" w:color="000000"/>
            </w:tcBorders>
          </w:tcPr>
          <w:p>
            <w:pPr>
              <w:pStyle w:val="Normal"/>
              <w:snapToGrid w:val="false"/>
              <w:jc w:val="center"/>
              <w:rPr>
                <w:b/>
                <w:bCs/>
                <w:sz w:val="24"/>
                <w:szCs w:val="24"/>
              </w:rPr>
            </w:pPr>
            <w:r>
              <w:rPr>
                <w:b/>
                <w:bCs/>
                <w:sz w:val="24"/>
                <w:szCs w:val="24"/>
              </w:rPr>
            </w:r>
          </w:p>
        </w:tc>
      </w:tr>
    </w:tbl>
    <w:p>
      <w:pPr>
        <w:pStyle w:val="Normal"/>
        <w:ind w:hanging="900" w:start="907" w:end="0"/>
        <w:rPr>
          <w:sz w:val="24"/>
          <w:szCs w:val="24"/>
        </w:rPr>
      </w:pPr>
      <w:r>
        <w:rPr>
          <w:sz w:val="24"/>
          <w:szCs w:val="24"/>
        </w:rPr>
      </w:r>
    </w:p>
    <w:p>
      <w:pPr>
        <w:pStyle w:val="Normal"/>
        <w:ind w:hanging="900" w:start="907" w:end="0"/>
        <w:rPr>
          <w:sz w:val="24"/>
          <w:szCs w:val="24"/>
        </w:rPr>
      </w:pPr>
      <w:r>
        <w:rPr>
          <w:sz w:val="24"/>
          <w:szCs w:val="24"/>
        </w:rPr>
        <w:t xml:space="preserve">Source:   California Energy Commission (CEC)  </w:t>
      </w:r>
    </w:p>
    <w:p>
      <w:pPr>
        <w:pStyle w:val="Normal"/>
        <w:ind w:start="907" w:end="0"/>
        <w:rPr>
          <w:sz w:val="24"/>
          <w:szCs w:val="24"/>
        </w:rPr>
      </w:pPr>
      <w:r>
        <w:rPr>
          <w:sz w:val="24"/>
          <w:szCs w:val="24"/>
        </w:rPr>
        <w:t>Website - http://www.energy.ca.gov/maps/siting_cases.html</w:t>
      </w:r>
    </w:p>
    <w:p>
      <w:pPr>
        <w:pStyle w:val="Normal"/>
        <w:spacing w:lineRule="auto" w:line="360"/>
        <w:rPr>
          <w:b/>
          <w:bCs/>
          <w:sz w:val="24"/>
          <w:szCs w:val="24"/>
          <w:u w:val="single"/>
        </w:rPr>
      </w:pPr>
      <w:r>
        <w:rPr>
          <w:b/>
          <w:bCs/>
          <w:sz w:val="24"/>
          <w:szCs w:val="24"/>
          <w:u w:val="single"/>
        </w:rPr>
      </w:r>
    </w:p>
    <w:p>
      <w:pPr>
        <w:pStyle w:val="Normal"/>
        <w:spacing w:lineRule="auto" w:line="360"/>
        <w:rPr>
          <w:sz w:val="24"/>
          <w:szCs w:val="24"/>
        </w:rPr>
      </w:pPr>
      <w:r>
        <w:rPr>
          <w:b/>
          <w:bCs/>
          <w:sz w:val="24"/>
          <w:szCs w:val="24"/>
          <w:u w:val="single"/>
        </w:rPr>
        <w:t>McKittrick Area</w:t>
      </w:r>
    </w:p>
    <w:p>
      <w:pPr>
        <w:pStyle w:val="Normal"/>
        <w:spacing w:lineRule="auto" w:line="360"/>
        <w:ind w:firstLine="720" w:end="0"/>
        <w:rPr>
          <w:sz w:val="24"/>
          <w:szCs w:val="24"/>
        </w:rPr>
      </w:pPr>
      <w:r>
        <w:rPr>
          <w:sz w:val="24"/>
          <w:szCs w:val="24"/>
        </w:rPr>
        <w:t>On October 6, NEG’s $500 million La Paloma Generating Project received final CEC approval for construction and operation.  To be completed in 2002.  The 1048-megawatt plant will be the largest of the four McKittrick area projects.  A 370-foot pipeline to Kern/Mojave Pipeline will be constructed for gas supply.  A proposed 15-mile bundled 230-kilovolt double circuit overhead electric transmission line will be built to interconnect to PG&amp;E’s Midway Substation at Buttonwillow.  La Paloma is in SoCalGas’ certificated service territory.</w:t>
      </w:r>
    </w:p>
    <w:p>
      <w:pPr>
        <w:pStyle w:val="Normal"/>
        <w:spacing w:lineRule="auto" w:line="360"/>
        <w:ind w:firstLine="720" w:end="0"/>
        <w:rPr>
          <w:sz w:val="24"/>
          <w:szCs w:val="24"/>
        </w:rPr>
      </w:pPr>
      <w:r>
        <w:rPr>
          <w:sz w:val="24"/>
          <w:szCs w:val="24"/>
        </w:rPr>
        <w:t xml:space="preserve">The Sunrise Cogeneration Power Project has filed with the CEC to construct a 300 megawatt generating and steaming facility in Fellows, just south of McKittrick.  Hearings to approve the project are expected to conclude in early November 1999.  Sunrise plans to source gas supply from Kern/Mojave.  Sunrise plans to build an additional 230-kilovolt transmission line in parallel to the existing 230 kilovolt line and connect the plant to PG&amp;E’s Midway Substation at Buttonwillow.  The site is in SoCalGas’ certificated service territory.   </w:t>
      </w:r>
    </w:p>
    <w:p>
      <w:pPr>
        <w:pStyle w:val="Normal"/>
        <w:spacing w:lineRule="auto" w:line="360"/>
        <w:ind w:firstLine="720" w:end="0"/>
        <w:rPr>
          <w:sz w:val="24"/>
          <w:szCs w:val="24"/>
        </w:rPr>
      </w:pPr>
      <w:r>
        <w:rPr>
          <w:sz w:val="24"/>
          <w:szCs w:val="24"/>
        </w:rPr>
        <w:t xml:space="preserve">The Midway Sunset Cogeneration Project is expected to file with the CEC to construct a 500 megawatt facility in Fellows, just south of McKittrick. The site is in SoCalGas’ service territory.  Sunset plans to source gas supply from Kern/Mojave.  A new 15 mile electric transmission line (the Sunrise-Valley Acres transmission line) will be built to the new Valley Switching Station for connection to the existing California Department of Water Resources and PG&amp;E 230 kilovolt transmission line.  The owners also own and operate the existing 10 megawatt North Midway Sunset project served by Texaco’s foreign gas pipeline.  </w:t>
      </w:r>
    </w:p>
    <w:p>
      <w:pPr>
        <w:pStyle w:val="Normal"/>
        <w:spacing w:lineRule="auto" w:line="360"/>
        <w:ind w:firstLine="720" w:end="0"/>
        <w:rPr>
          <w:sz w:val="24"/>
          <w:szCs w:val="24"/>
        </w:rPr>
      </w:pPr>
      <w:r>
        <w:rPr>
          <w:sz w:val="24"/>
          <w:szCs w:val="24"/>
        </w:rPr>
        <w:t>The Elk Hills Power Project is a 500 megawatt combined cycle facility located 25 miles west of Bakersfield in the center of the 74 square mile Elk Hills Oil and Gas Field operated by Occidental of Elk Hills.  The project will include a 2500-foot, 10-inch gas pipeline owned and operated by Occidental and a new nine-mile overhead transmission line to a new electric substation near Tupman.  A SoCalGas eight-inch line crosses the Elk Hills field near the project site.  Occidental will provide its own gas supply with SoCalGas as a backup.</w:t>
      </w:r>
    </w:p>
    <w:p>
      <w:pPr>
        <w:pStyle w:val="Normal"/>
        <w:spacing w:lineRule="auto" w:line="360"/>
        <w:ind w:firstLine="720" w:end="0"/>
        <w:rPr>
          <w:sz w:val="24"/>
          <w:szCs w:val="24"/>
        </w:rPr>
      </w:pPr>
      <w:r>
        <w:rPr>
          <w:sz w:val="24"/>
          <w:szCs w:val="24"/>
        </w:rPr>
      </w:r>
    </w:p>
    <w:p>
      <w:pPr>
        <w:pStyle w:val="Normal"/>
        <w:spacing w:lineRule="auto" w:line="360"/>
        <w:rPr>
          <w:sz w:val="24"/>
          <w:szCs w:val="24"/>
          <w:u w:val="single"/>
        </w:rPr>
      </w:pPr>
      <w:r>
        <w:rPr>
          <w:b/>
          <w:bCs/>
          <w:sz w:val="24"/>
          <w:szCs w:val="24"/>
          <w:u w:val="single"/>
        </w:rPr>
        <w:t>Other Power Projects</w:t>
      </w:r>
    </w:p>
    <w:p>
      <w:pPr>
        <w:pStyle w:val="Normal"/>
        <w:spacing w:lineRule="auto" w:line="360"/>
        <w:rPr>
          <w:sz w:val="24"/>
          <w:szCs w:val="24"/>
        </w:rPr>
      </w:pPr>
      <w:r>
        <w:rPr>
          <w:sz w:val="24"/>
          <w:szCs w:val="24"/>
        </w:rPr>
        <w:tab/>
        <w:t xml:space="preserve">Three power projects are planned south and east of Bakersfield: High Desert, Antelope Valley, and Pastoria.  </w:t>
      </w:r>
    </w:p>
    <w:p>
      <w:pPr>
        <w:pStyle w:val="Normal"/>
        <w:spacing w:lineRule="auto" w:line="360"/>
        <w:ind w:firstLine="720" w:end="0"/>
        <w:rPr>
          <w:sz w:val="24"/>
          <w:szCs w:val="24"/>
        </w:rPr>
      </w:pPr>
      <w:r>
        <w:rPr>
          <w:sz w:val="24"/>
          <w:szCs w:val="24"/>
        </w:rPr>
        <w:t>High Desert Power Project has filed to construct a facility in Victorville at the Southern California International Airport, formerly George Air Force Base.  The area is certificated to Southwest Gas.  Kern/Mojave has filed to build a lateral to the plant.  The SoCalGas and PG&amp;E systems already serve the Victorville area.  A 7.3- mile electric transmission line will need to be built to connect with the Southern California Edison (SCE) 230 kilovolt Victor Substation.</w:t>
      </w:r>
    </w:p>
    <w:p>
      <w:pPr>
        <w:pStyle w:val="Normal"/>
        <w:spacing w:lineRule="auto" w:line="360"/>
        <w:ind w:firstLine="720" w:end="0"/>
        <w:rPr>
          <w:sz w:val="24"/>
          <w:szCs w:val="24"/>
        </w:rPr>
      </w:pPr>
      <w:r>
        <w:rPr>
          <w:sz w:val="24"/>
          <w:szCs w:val="24"/>
        </w:rPr>
        <w:t xml:space="preserve">Antelope Valley is expected to file with the CEC to construct a 1000- megawatt plant about 60 miles southeast of Bakersfield near California City and Edwards Air Force Base. The plant is designed to help reduce the CA-ISO’s reliance on “reliability must run” contracts by supporting voltage in the SCE Vincent 500/230 kilovolt transformer.  Antelope Valley is in open gas territory.  Enron proposes to locate the facility only one mile from both the Kern/Mojave and PG&amp;E’s mainline.  However, the Antelope Valley petition references only a Kern/Mojave connection.  </w:t>
      </w:r>
    </w:p>
    <w:p>
      <w:pPr>
        <w:pStyle w:val="Normal"/>
        <w:spacing w:lineRule="auto" w:line="360"/>
        <w:ind w:firstLine="720" w:end="0"/>
        <w:rPr>
          <w:sz w:val="24"/>
          <w:szCs w:val="24"/>
        </w:rPr>
      </w:pPr>
      <w:r>
        <w:rPr>
          <w:sz w:val="24"/>
          <w:szCs w:val="24"/>
        </w:rPr>
        <w:t>Pastoria Power Project is expected to file with the CEC to construct  a 960- megawatt plant on the Tejon Ranch property about 25 miles south of Bakersfield, approximately 6.5 miles east of the Grapevine interchange on Interstate Highway 5.   The developer would connect to SCE 230 kilovolt line at the Pastoria substation that feeds into the Midway Sunset Control Center via PG&amp;E’s transmission facilities.  Pastoria is located in SoCalGas service territory.</w:t>
      </w:r>
    </w:p>
    <w:p>
      <w:pPr>
        <w:pStyle w:val="Normal"/>
        <w:spacing w:lineRule="auto" w:line="360"/>
        <w:rPr>
          <w:b/>
          <w:bCs/>
          <w:sz w:val="24"/>
          <w:szCs w:val="24"/>
          <w:u w:val="single"/>
        </w:rPr>
      </w:pPr>
      <w:r>
        <w:rPr>
          <w:b/>
          <w:bCs/>
          <w:sz w:val="24"/>
          <w:szCs w:val="24"/>
          <w:u w:val="single"/>
        </w:rPr>
      </w:r>
    </w:p>
    <w:p>
      <w:pPr>
        <w:pStyle w:val="Normal"/>
        <w:spacing w:lineRule="auto" w:line="360"/>
        <w:rPr>
          <w:b/>
          <w:bCs/>
          <w:sz w:val="24"/>
          <w:szCs w:val="24"/>
          <w:u w:val="single"/>
        </w:rPr>
      </w:pPr>
      <w:r>
        <w:rPr>
          <w:b/>
          <w:bCs/>
          <w:sz w:val="24"/>
          <w:szCs w:val="24"/>
          <w:u w:val="single"/>
        </w:rPr>
        <w:t>GAS SUPPLY</w:t>
      </w:r>
    </w:p>
    <w:p>
      <w:pPr>
        <w:pStyle w:val="Normal"/>
        <w:spacing w:lineRule="auto" w:line="360"/>
        <w:ind w:firstLine="720" w:end="0"/>
        <w:rPr>
          <w:b/>
          <w:bCs/>
          <w:sz w:val="24"/>
          <w:szCs w:val="24"/>
          <w:u w:val="single"/>
        </w:rPr>
      </w:pPr>
      <w:r>
        <w:rPr>
          <w:sz w:val="24"/>
          <w:szCs w:val="24"/>
        </w:rPr>
        <w:t xml:space="preserve">Each of the seven projects has various gas supply options: interstate, intrastate or new California indigenous supply.  </w:t>
      </w:r>
    </w:p>
    <w:p>
      <w:pPr>
        <w:pStyle w:val="Normal"/>
        <w:spacing w:lineRule="auto" w:line="360"/>
        <w:rPr>
          <w:b/>
          <w:bCs/>
          <w:sz w:val="24"/>
          <w:szCs w:val="24"/>
          <w:u w:val="single"/>
        </w:rPr>
      </w:pPr>
      <w:r>
        <w:rPr>
          <w:b/>
          <w:bCs/>
          <w:sz w:val="24"/>
          <w:szCs w:val="24"/>
          <w:u w:val="single"/>
        </w:rPr>
      </w:r>
    </w:p>
    <w:p>
      <w:pPr>
        <w:pStyle w:val="Normal"/>
        <w:spacing w:lineRule="auto" w:line="360"/>
        <w:rPr>
          <w:b/>
          <w:bCs/>
          <w:sz w:val="24"/>
          <w:szCs w:val="24"/>
        </w:rPr>
      </w:pPr>
      <w:r>
        <w:rPr>
          <w:b/>
          <w:bCs/>
          <w:sz w:val="24"/>
          <w:szCs w:val="24"/>
          <w:u w:val="single"/>
        </w:rPr>
        <w:t>Natural Gas Pipelines</w:t>
      </w:r>
    </w:p>
    <w:p>
      <w:pPr>
        <w:pStyle w:val="Normal"/>
        <w:spacing w:lineRule="auto" w:line="360"/>
        <w:rPr/>
      </w:pPr>
      <w:r>
        <w:rPr>
          <w:b/>
          <w:bCs/>
          <w:sz w:val="24"/>
          <w:szCs w:val="24"/>
        </w:rPr>
        <w:tab/>
      </w:r>
      <w:r>
        <w:rPr>
          <w:sz w:val="24"/>
          <w:szCs w:val="24"/>
        </w:rPr>
        <w:t xml:space="preserve">About a mile north of McKittrick, at a location dubbed 17-Z, at least six pipeline systems interconnect, one interstate, one intrastate, and four foreign systems.  They are Kern/Mojave, SoCalGas, Occidental, Texaco, Chevron, and Mobil/Aera.  The diversity of gas supply and the proximity to PG&amp;E’s Midway Substation are primary reasons power developers chose the McKittrick area.   </w:t>
      </w:r>
    </w:p>
    <w:p>
      <w:pPr>
        <w:pStyle w:val="Normal"/>
        <w:spacing w:lineRule="auto" w:line="360"/>
        <w:rPr>
          <w:sz w:val="24"/>
          <w:szCs w:val="24"/>
        </w:rPr>
      </w:pPr>
      <w:r>
        <w:rPr>
          <w:sz w:val="24"/>
          <w:szCs w:val="24"/>
        </w:rPr>
        <w:tab/>
      </w:r>
    </w:p>
    <w:p>
      <w:pPr>
        <w:pStyle w:val="Normal"/>
        <w:spacing w:lineRule="auto" w:line="360"/>
        <w:rPr>
          <w:sz w:val="24"/>
          <w:szCs w:val="24"/>
        </w:rPr>
      </w:pPr>
      <w:r>
        <w:rPr/>
        <w:drawing>
          <wp:inline distT="0" distB="0" distL="0" distR="0">
            <wp:extent cx="5456555" cy="462026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5456555" cy="4620260"/>
                    </a:xfrm>
                    <a:prstGeom prst="rect">
                      <a:avLst/>
                    </a:prstGeom>
                    <a:noFill/>
                  </pic:spPr>
                </pic:pic>
              </a:graphicData>
            </a:graphic>
          </wp:inline>
        </w:drawing>
      </w:r>
    </w:p>
    <w:p>
      <w:pPr>
        <w:pStyle w:val="Normal"/>
        <w:spacing w:lineRule="auto" w:line="360"/>
        <w:rPr>
          <w:sz w:val="24"/>
          <w:szCs w:val="24"/>
          <w:u w:val="single"/>
        </w:rPr>
      </w:pPr>
      <w:r>
        <w:rPr>
          <w:sz w:val="24"/>
          <w:szCs w:val="24"/>
          <w:u w:val="single"/>
        </w:rPr>
      </w:r>
    </w:p>
    <w:p>
      <w:pPr>
        <w:pStyle w:val="Normal"/>
        <w:spacing w:lineRule="auto" w:line="360"/>
        <w:rPr>
          <w:sz w:val="24"/>
          <w:szCs w:val="24"/>
        </w:rPr>
      </w:pPr>
      <w:r>
        <w:rPr>
          <w:sz w:val="24"/>
          <w:szCs w:val="24"/>
          <w:u w:val="single"/>
        </w:rPr>
        <w:t>Interstate Pipeline</w:t>
      </w:r>
    </w:p>
    <w:p>
      <w:pPr>
        <w:pStyle w:val="Normal"/>
        <w:spacing w:lineRule="auto" w:line="360"/>
        <w:ind w:firstLine="720" w:end="0"/>
        <w:rPr>
          <w:sz w:val="24"/>
          <w:szCs w:val="24"/>
        </w:rPr>
      </w:pPr>
      <w:r>
        <w:rPr>
          <w:sz w:val="24"/>
          <w:szCs w:val="24"/>
        </w:rPr>
        <w:t>In 1992 Kern River Gas Transmission Co. and Mojave Pipeline Operating Co. extended a competitive FERC jurisdictional interstate pipeline, called Kern/Mojave, into PG&amp;E’s service territory in the Bakersfield, California, area.  Kern/Mojave provided the market an additional 1100 MMcf/d of supply: 700 MMcf/d Rocky Mountain and 400 MMcf/d Southwest.  Since the effective Kern/Mojave’s rates were lower than PG&amp;E’s, approximately 300 MDth/d of PG&amp;E’s load switched to Kern/Mojave service.  In addition, new load in the Bakersfield area connected to Kern/Mojave.</w:t>
      </w:r>
    </w:p>
    <w:p>
      <w:pPr>
        <w:pStyle w:val="Normal"/>
        <w:spacing w:lineRule="auto" w:line="360"/>
        <w:ind w:firstLine="720" w:end="0"/>
        <w:rPr>
          <w:sz w:val="24"/>
          <w:szCs w:val="24"/>
        </w:rPr>
      </w:pPr>
      <w:r>
        <w:rPr>
          <w:sz w:val="24"/>
          <w:szCs w:val="24"/>
        </w:rPr>
        <w:t xml:space="preserve">Kern River has run at virtually full capacity since beginning operation.  Kern River has had several open seasons to expand capacity to support a booming Las Vegas market and a proposed extension to Los Angeles.   Occidental-Elk Hills supply is supporting Kern/Mojave’s west end operations and that Kern/Mojave may lose this support when the Occidental Elk Hills Power Project comes on line.   </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u w:val="single"/>
        </w:rPr>
        <w:t>Intrastate Pipelines</w:t>
      </w:r>
    </w:p>
    <w:p>
      <w:pPr>
        <w:pStyle w:val="Normal"/>
        <w:spacing w:lineRule="auto" w:line="360"/>
        <w:ind w:firstLine="720" w:end="0"/>
        <w:rPr>
          <w:sz w:val="24"/>
          <w:szCs w:val="24"/>
        </w:rPr>
      </w:pPr>
      <w:r>
        <w:rPr>
          <w:sz w:val="24"/>
          <w:szCs w:val="24"/>
        </w:rPr>
        <w:t xml:space="preserve">SoCalGas is certificated (CPCN) by the CPUC to serve most of the Bakersfield area.  Discussion with PG&amp;E’s Bakersfield operations confirms that the four McKittrick projects and Pastoria are in SoCalGas’ service territory.  High Desert is in Southwest Gas’ certificated territory.  </w:t>
      </w:r>
    </w:p>
    <w:p>
      <w:pPr>
        <w:pStyle w:val="Normal"/>
        <w:spacing w:lineRule="auto" w:line="360"/>
        <w:ind w:firstLine="720" w:end="0"/>
        <w:rPr>
          <w:sz w:val="24"/>
          <w:szCs w:val="24"/>
        </w:rPr>
      </w:pPr>
      <w:r>
        <w:rPr>
          <w:sz w:val="24"/>
          <w:szCs w:val="24"/>
        </w:rPr>
      </w:r>
    </w:p>
    <w:p>
      <w:pPr>
        <w:pStyle w:val="Normal"/>
        <w:spacing w:lineRule="auto" w:line="360"/>
        <w:rPr>
          <w:sz w:val="24"/>
          <w:szCs w:val="24"/>
        </w:rPr>
      </w:pPr>
      <w:r>
        <w:rPr>
          <w:sz w:val="24"/>
          <w:szCs w:val="24"/>
        </w:rPr>
      </w:r>
    </w:p>
    <w:sectPr>
      <w:footerReference w:type="default" r:id="rId4"/>
      <w:footerReference w:type="first" r:id="rId5"/>
      <w:type w:val="nextPage"/>
      <w:pgSz w:w="12240" w:h="15840"/>
      <w:pgMar w:left="1800" w:right="1800" w:gutter="0" w:header="0" w:top="1260" w:footer="720" w:bottom="126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2001-09-19T20:56:00Z</dcterms:created>
  <dc:creator>Glen Martin</dc:creator>
  <dc:description/>
  <dc:language>en-CA</dc:language>
  <cp:lastModifiedBy>Ben Campbell</cp:lastModifiedBy>
  <cp:lastPrinted>2001-09-19T15:35:00Z</cp:lastPrinted>
  <dcterms:modified xsi:type="dcterms:W3CDTF">2001-09-19T21:08:00Z</dcterms:modified>
  <cp:revision>3</cp:revision>
  <dc:subject/>
  <dc:title>17-Z  Initiative</dc:title>
</cp:coreProperties>
</file>