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rPr>
      </w:pPr>
      <w:r>
        <w:rPr>
          <w:sz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b/>
          <w:sz w:val="20"/>
        </w:rPr>
      </w:pPr>
      <w:r>
        <w:rPr>
          <w:rFonts w:cs="Arial Narrow" w:ascii="Arial Narrow" w:hAnsi="Arial Narrow"/>
          <w:b/>
          <w:sz w:val="20"/>
        </w:rPr>
        <w:t>ENRON NORTH AMERICA CORP.</w:t>
      </w:r>
    </w:p>
    <w:p>
      <w:pPr>
        <w:pStyle w:val="Normal"/>
        <w:widowControl/>
        <w:jc w:val="center"/>
        <w:rPr>
          <w:rFonts w:ascii="Arial Narrow" w:hAnsi="Arial Narrow" w:cs="Arial Narrow"/>
          <w:b/>
          <w:sz w:val="20"/>
        </w:rPr>
      </w:pPr>
      <w:r>
        <w:rPr>
          <w:rFonts w:cs="Arial Narrow" w:ascii="Arial Narrow" w:hAnsi="Arial Narrow"/>
          <w:sz w:val="20"/>
        </w:rPr>
        <w:t>1400 Smith Street, Houston, Texas   77002</w:t>
      </w:r>
    </w:p>
    <w:p>
      <w:pPr>
        <w:pStyle w:val="Normal"/>
        <w:widowControl/>
        <w:jc w:val="center"/>
        <w:rPr>
          <w:rFonts w:ascii="Arial Narrow" w:hAnsi="Arial Narrow" w:cs="Arial Narrow"/>
          <w:b/>
          <w:sz w:val="20"/>
        </w:rPr>
      </w:pPr>
      <w:r>
        <w:rPr>
          <w:rFonts w:cs="Arial Narrow" w:ascii="Arial Narrow" w:hAnsi="Arial Narrow"/>
          <w:b/>
          <w:sz w:val="20"/>
        </w:rPr>
      </w:r>
    </w:p>
    <w:p>
      <w:pPr>
        <w:pStyle w:val="Heading1"/>
        <w:ind w:hanging="0" w:start="0"/>
        <w:rPr>
          <w:rFonts w:ascii="Arial Narrow" w:hAnsi="Arial Narrow" w:cs="Arial Narrow"/>
          <w:b w:val="false"/>
          <w:sz w:val="20"/>
        </w:rPr>
      </w:pPr>
      <w:r>
        <w:rPr>
          <w:rFonts w:cs="Arial Narrow"/>
          <w:b w:val="false"/>
          <w:sz w:val="20"/>
        </w:rPr>
      </w:r>
    </w:p>
    <w:p>
      <w:pPr>
        <w:pStyle w:val="Heading1"/>
        <w:ind w:hanging="0" w:start="0"/>
        <w:rPr/>
      </w:pPr>
      <w:r>
        <w:rPr/>
        <w:t>Kennedy Oil</w:t>
      </w:r>
    </w:p>
    <w:p>
      <w:pPr>
        <w:pStyle w:val="Normal"/>
        <w:widowControl/>
        <w:rPr/>
      </w:pPr>
      <w:r>
        <w:rPr>
          <w:rFonts w:cs="Arial Narrow" w:ascii="Arial Narrow" w:hAnsi="Arial Narrow"/>
          <w:sz w:val="20"/>
        </w:rPr>
        <w:t>700 West 6</w:t>
      </w:r>
      <w:r>
        <w:rPr>
          <w:rFonts w:cs="Arial Narrow" w:ascii="Arial Narrow" w:hAnsi="Arial Narrow"/>
          <w:sz w:val="20"/>
          <w:vertAlign w:val="superscript"/>
        </w:rPr>
        <w:t>th</w:t>
      </w:r>
      <w:r>
        <w:rPr>
          <w:rFonts w:cs="Arial Narrow" w:ascii="Arial Narrow" w:hAnsi="Arial Narrow"/>
          <w:sz w:val="20"/>
        </w:rPr>
        <w:t xml:space="preserve"> Street</w:t>
      </w:r>
    </w:p>
    <w:p>
      <w:pPr>
        <w:pStyle w:val="Normal"/>
        <w:widowControl/>
        <w:rPr>
          <w:rFonts w:ascii="Arial Narrow" w:hAnsi="Arial Narrow" w:cs="Arial Narrow"/>
          <w:sz w:val="20"/>
        </w:rPr>
      </w:pPr>
      <w:r>
        <w:rPr>
          <w:rFonts w:cs="Arial Narrow" w:ascii="Arial Narrow" w:hAnsi="Arial Narrow"/>
          <w:sz w:val="20"/>
        </w:rPr>
        <w:t>Gillette, Wyoming 82716</w:t>
      </w:r>
    </w:p>
    <w:p>
      <w:pPr>
        <w:pStyle w:val="Normal"/>
        <w:widowControl/>
        <w:rPr>
          <w:rFonts w:ascii="Arial Narrow" w:hAnsi="Arial Narrow" w:cs="Arial Narrow"/>
          <w:b/>
          <w:sz w:val="20"/>
        </w:rPr>
      </w:pPr>
      <w:r>
        <w:rPr>
          <w:rFonts w:cs="Arial Narrow" w:ascii="Arial Narrow" w:hAnsi="Arial Narrow"/>
          <w:b/>
          <w:sz w:val="20"/>
        </w:rPr>
      </w:r>
    </w:p>
    <w:p>
      <w:pPr>
        <w:pStyle w:val="Normal"/>
        <w:widowControl/>
        <w:rPr>
          <w:rFonts w:ascii="Arial Narrow" w:hAnsi="Arial Narrow" w:cs="Arial Narrow"/>
          <w:b/>
          <w:sz w:val="20"/>
        </w:rPr>
      </w:pPr>
      <w:r>
        <w:rPr>
          <w:rFonts w:cs="Arial Narrow" w:ascii="Arial Narrow" w:hAnsi="Arial Narrow"/>
          <w:b/>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RESERVES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RESERVES GENERAL TERMS &amp; CONDITIONS GOVERN</w:t>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September 1, 2001</w:t>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KENNEDY OIL</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ENRON NORTH AMERICA CORP.</w:t>
      </w:r>
      <w:r>
        <w:rPr>
          <w:rFonts w:cs="Arial Narrow" w:ascii="Arial Narrow" w:hAnsi="Arial Narrow"/>
          <w:sz w:val="20"/>
        </w:rPr>
        <w:t xml:space="preserve">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p>
      <w:pPr>
        <w:pStyle w:val="Normal"/>
        <w:widowControl/>
        <w:jc w:val="both"/>
        <w:rPr>
          <w:rFonts w:ascii="Arial Narrow" w:hAnsi="Arial Narrow" w:cs="Arial Narrow"/>
          <w:b/>
          <w:sz w:val="20"/>
        </w:rPr>
      </w:pPr>
      <w:r>
        <w:rPr>
          <w:rFonts w:cs="Arial Narrow" w:ascii="Arial Narrow" w:hAnsi="Arial Narrow"/>
          <w:b/>
          <w:sz w:val="20"/>
        </w:rPr>
        <w:t>NOTICE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jc w:val="both"/>
        <w:rPr>
          <w:rFonts w:ascii="Arial Narrow" w:hAnsi="Arial Narrow" w:cs="Arial Narrow"/>
          <w:sz w:val="20"/>
        </w:rPr>
      </w:pPr>
      <w:r>
        <w:rPr>
          <w:rFonts w:cs="Arial Narrow" w:ascii="Arial Narrow" w:hAnsi="Arial Narrow"/>
          <w:sz w:val="20"/>
        </w:rPr>
        <w:t>Facsimile No. (713) 646-4816</w:t>
      </w:r>
    </w:p>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p>
      <w:pPr>
        <w:pStyle w:val="Normal"/>
        <w:widowControl/>
        <w:jc w:val="both"/>
        <w:rPr>
          <w:rFonts w:ascii="Arial Narrow" w:hAnsi="Arial Narrow" w:cs="Arial Narrow"/>
          <w:b/>
          <w:sz w:val="20"/>
        </w:rPr>
      </w:pPr>
      <w:r>
        <w:rPr>
          <w:rFonts w:cs="Arial Narrow" w:ascii="Arial Narrow" w:hAnsi="Arial Narrow"/>
          <w:b/>
          <w:sz w:val="20"/>
        </w:rPr>
        <w:t>WIRE PAYMENTS TO COMPANY:</w:t>
      </w:r>
    </w:p>
    <w:p>
      <w:pPr>
        <w:pStyle w:val="Normal"/>
        <w:widowControl/>
        <w:jc w:val="both"/>
        <w:rPr>
          <w:rFonts w:ascii="Arial Narrow" w:hAnsi="Arial Narrow" w:cs="Arial Narrow"/>
          <w:sz w:val="20"/>
        </w:rPr>
      </w:pPr>
      <w:r>
        <w:rPr>
          <w:rFonts w:cs="Arial Narrow" w:ascii="Arial Narrow" w:hAnsi="Arial Narrow"/>
          <w:sz w:val="20"/>
        </w:rPr>
        <w:t>ABA Routing 111000025 Bank of America Account 4140327387</w:t>
      </w:r>
    </w:p>
    <w:p>
      <w:pPr>
        <w:pStyle w:val="Normal"/>
        <w:widowControl/>
        <w:jc w:val="both"/>
        <w:rPr>
          <w:rFonts w:ascii="Arial Narrow" w:hAnsi="Arial Narrow" w:cs="Arial Narrow"/>
          <w:b/>
          <w:sz w:val="20"/>
        </w:rPr>
      </w:pPr>
      <w:r>
        <w:rPr>
          <w:rFonts w:cs="Arial Narrow" w:ascii="Arial Narrow" w:hAnsi="Arial Narrow"/>
          <w:b/>
          <w:sz w:val="20"/>
        </w:rPr>
        <w:t>NOMINATIONS TO COMPANY:</w:t>
      </w:r>
    </w:p>
    <w:p>
      <w:pPr>
        <w:pStyle w:val="Normal"/>
        <w:widowControl/>
        <w:jc w:val="both"/>
        <w:rPr>
          <w:rFonts w:ascii="Arial Narrow" w:hAnsi="Arial Narrow" w:cs="Arial Narrow"/>
          <w:sz w:val="20"/>
        </w:rPr>
      </w:pPr>
      <w:r>
        <w:rPr>
          <w:rFonts w:cs="Arial Narrow" w:ascii="Arial Narrow" w:hAnsi="Arial Narrow"/>
          <w:sz w:val="20"/>
        </w:rPr>
        <w:t>1(800) 356-9427/1(800)FLOWGAS</w:t>
      </w:r>
    </w:p>
    <w:p>
      <w:pPr>
        <w:pStyle w:val="Normal"/>
        <w:widowControl/>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sz w:val="20"/>
        </w:rPr>
        <w:t>MaxDQ:  1,153 MMBTUS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RELEASED GAS:  </w:t>
      </w:r>
      <w:r>
        <w:rPr>
          <w:rFonts w:cs="Arial Narrow" w:ascii="Arial Narrow" w:hAnsi="Arial Narrow"/>
          <w:sz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August 27, 1999 (the “Long Term Contract”) and in excess of those quantities purchased by ENA under that Enfolio® Purchase Agreement dated May 12, 2001 with Period of Delivery commencing on September 1, 2001.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WYOMING ROYALTY ACT:</w:t>
      </w:r>
      <w:r>
        <w:rPr>
          <w:rFonts w:cs="Arial Narrow" w:ascii="Arial Narrow" w:hAnsi="Arial Narrow"/>
          <w:sz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COMMITTED RESERVES: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u w:val="single"/>
        </w:rPr>
      </w:pPr>
      <w:r>
        <w:rPr>
          <w:rFonts w:cs="Arial Narrow" w:ascii="Arial Narrow" w:hAnsi="Arial Narrow"/>
          <w:b/>
          <w:sz w:val="20"/>
        </w:rPr>
        <w:t>FIELD NAME/COUNTY/STATE:  CABALLO/CAMPBELL/WYOMING.</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Meter No. 812687</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PERIOD OF DELIVERY:  </w:t>
      </w:r>
      <w:r>
        <w:rPr>
          <w:rFonts w:cs="Arial Narrow" w:ascii="Arial Narrow" w:hAnsi="Arial Narrow"/>
          <w:bCs/>
          <w:sz w:val="20"/>
        </w:rPr>
        <w:t>September</w:t>
      </w:r>
      <w:r>
        <w:rPr>
          <w:rFonts w:cs="Arial Narrow" w:ascii="Arial Narrow" w:hAnsi="Arial Narrow"/>
          <w:sz w:val="20"/>
        </w:rPr>
        <w:t xml:space="preserve"> 1, through September 30,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CONTRACT PRICE:  </w:t>
      </w:r>
      <w:r>
        <w:rPr>
          <w:rFonts w:cs="Arial Narrow" w:ascii="Arial Narrow" w:hAnsi="Arial Narrow"/>
          <w:sz w:val="20"/>
        </w:rPr>
        <w:t>Gas Daily, CIG Rockies (N System) plus $0.10 minus gathering fees and fuel.</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RESERVES GENERAL TERMS &amp; CONDITIONS (the "</w:t>
      </w:r>
      <w:r>
        <w:rPr>
          <w:rFonts w:cs="Arial Narrow" w:ascii="Arial Narrow" w:hAnsi="Arial Narrow"/>
          <w:sz w:val="20"/>
          <w:u w:val="single"/>
        </w:rPr>
        <w:t>GTC</w:t>
      </w:r>
      <w:r>
        <w:rPr>
          <w:rFonts w:cs="Arial Narrow" w:ascii="Arial Narrow" w:hAnsi="Arial Narrow"/>
          <w:sz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bCs/>
          <w:sz w:val="20"/>
        </w:rPr>
      </w:pPr>
      <w:r>
        <w:rPr>
          <w:rFonts w:cs="Arial Narrow" w:ascii="Arial Narrow" w:hAnsi="Arial Narrow"/>
          <w:b/>
          <w:bCs/>
          <w:sz w:val="20"/>
        </w:rPr>
        <w:t>Please note this Confirmation replaces the previous September Confirmation sent in error.</w:t>
      </w:r>
    </w:p>
    <w:p>
      <w:pPr>
        <w:pStyle w:val="Normal"/>
        <w:widowControl/>
        <w:jc w:val="both"/>
        <w:rPr>
          <w:rFonts w:ascii="Arial Narrow" w:hAnsi="Arial Narrow" w:cs="Arial Narrow"/>
          <w:b/>
          <w:bCs/>
          <w:sz w:val="20"/>
        </w:rPr>
      </w:pPr>
      <w:r>
        <w:rPr>
          <w:rFonts w:cs="Arial Narrow" w:ascii="Arial Narrow" w:hAnsi="Arial Narrow"/>
          <w:b/>
          <w:bCs/>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20"/>
              </w:rPr>
            </w:pPr>
            <w:r>
              <w:rPr>
                <w:rFonts w:cs="Arial Narrow" w:ascii="Arial Narrow" w:hAnsi="Arial Narrow"/>
                <w:sz w:val="20"/>
              </w:rPr>
              <w:t>KENNEDY OIL</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20"/>
              </w:rPr>
              <w:t>By:</w:t>
            </w:r>
            <w:r>
              <w:rPr>
                <w:rFonts w:cs="Arial Narrow" w:ascii="Arial Narrow" w:hAnsi="Arial Narrow"/>
                <w:sz w:val="20"/>
                <w:u w:val="single"/>
              </w:rPr>
              <w:tab/>
            </w:r>
            <w:r>
              <w:rPr>
                <w:rFonts w:cs="Arial Narrow" w:ascii="Arial Narrow" w:hAnsi="Arial Narrow"/>
                <w:sz w:val="20"/>
              </w:rPr>
              <w:t>_______________________________________________</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p>
            <w:pPr>
              <w:pStyle w:val="Normal"/>
              <w:tabs>
                <w:tab w:val="clear" w:pos="720"/>
                <w:tab w:val="left" w:pos="270" w:leader="none"/>
                <w:tab w:val="left" w:pos="4320" w:leader="none"/>
              </w:tabs>
              <w:jc w:val="both"/>
              <w:rPr/>
            </w:pPr>
            <w:r>
              <w:rPr>
                <w:rFonts w:cs="Arial Narrow" w:ascii="Arial Narrow" w:hAnsi="Arial Narrow"/>
                <w:sz w:val="20"/>
              </w:rPr>
              <w:t>Name:</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Name:</w:t>
            </w:r>
            <w:r>
              <w:rPr>
                <w:rFonts w:cs="Arial Narrow" w:ascii="Arial Narrow" w:hAnsi="Arial Narrow"/>
                <w:sz w:val="20"/>
                <w:u w:val="single"/>
              </w:rPr>
              <w:t xml:space="preserve">                                                                         </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70" w:leader="none"/>
                <w:tab w:val="left" w:pos="4320"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end"/>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/mnt/main-storage/datasets/enron-docs/doc/Kennedy_September__b__Confirm_3.doc</w:t>
      </w:r>
      <w:r>
        <w:rPr>
          <w:sz w:val="16"/>
          <w:rFonts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2001-09-10T19:07:00Z</dcterms:created>
  <dc:creator>ECT</dc:creator>
  <dc:description/>
  <dc:language>en-CA</dc:language>
  <cp:lastModifiedBy>jrozycki</cp:lastModifiedBy>
  <cp:lastPrinted>2001-09-10T17:10:00Z</cp:lastPrinted>
  <dcterms:modified xsi:type="dcterms:W3CDTF">2001-09-10T19:41:00Z</dcterms:modified>
  <cp:revision>4</cp:revision>
  <dc:subject/>
  <dc:title>[ECT LETTERHEAD]</dc:title>
</cp:coreProperties>
</file>