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sz w:val="20"/>
          <w:szCs w:val="20"/>
        </w:rPr>
      </w:pPr>
      <w:r>
        <w:rPr>
          <w:sz w:val="20"/>
          <w:szCs w:val="20"/>
        </w:rPr>
        <w:drawing>
          <wp:inline distT="0" distB="0" distL="0" distR="0">
            <wp:extent cx="1021715"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021715" cy="1005840"/>
                    </a:xfrm>
                    <a:prstGeom prst="rect">
                      <a:avLst/>
                    </a:prstGeom>
                    <a:noFill/>
                  </pic:spPr>
                </pic:pic>
              </a:graphicData>
            </a:graphic>
          </wp:inline>
        </w:drawing>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t>ENRON NORTH AMERICA CORP.</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sz w:val="20"/>
          <w:szCs w:val="20"/>
        </w:rPr>
        <w:t>1400 Smith Street, Houston, Texas   77002</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PURCHASE FROM COMMITTED RESERVES CONFIRMATION</w:t>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PURCHASE FROM COMMITTED RESERVES GENERAL TERMS &amp; CONDITIONS GOVERN</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rPr>
        <w:t>May 17, 2001</w:t>
      </w:r>
    </w:p>
    <w:p>
      <w:pPr>
        <w:pStyle w:val="Normal"/>
        <w:widowControl/>
        <w:jc w:val="both"/>
        <w:rPr/>
      </w:pPr>
      <w:r>
        <w:rPr>
          <w:rFonts w:eastAsia="Arial Narrow" w:cs="Arial Narrow" w:ascii="Arial Narrow" w:hAnsi="Arial Narrow"/>
          <w:sz w:val="20"/>
          <w:szCs w:val="20"/>
        </w:rPr>
        <w:t xml:space="preserve">This Confirmation shall confirm the Transaction agreed to on the date hereof and binding between </w:t>
      </w:r>
      <w:r>
        <w:rPr>
          <w:rFonts w:eastAsia="Arial Narrow" w:cs="Arial Narrow" w:ascii="Arial Narrow" w:hAnsi="Arial Narrow"/>
          <w:b/>
          <w:bCs/>
          <w:sz w:val="20"/>
          <w:szCs w:val="20"/>
        </w:rPr>
        <w:t>KENNEDY OIL</w:t>
      </w:r>
      <w:r>
        <w:rPr>
          <w:rFonts w:eastAsia="Arial Narrow" w:cs="Arial Narrow" w:ascii="Arial Narrow" w:hAnsi="Arial Narrow"/>
          <w:sz w:val="20"/>
          <w:szCs w:val="20"/>
        </w:rPr>
        <w:t xml:space="preserve"> ("</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xml:space="preserve">") and </w:t>
      </w:r>
      <w:r>
        <w:rPr>
          <w:rFonts w:eastAsia="Arial Narrow" w:cs="Arial Narrow" w:ascii="Arial Narrow" w:hAnsi="Arial Narrow"/>
          <w:b/>
          <w:bCs/>
          <w:sz w:val="20"/>
          <w:szCs w:val="20"/>
        </w:rPr>
        <w:t>ENRON NORTH AMERICA CORP.</w:t>
      </w:r>
      <w:r>
        <w:rPr>
          <w:rFonts w:eastAsia="Arial Narrow" w:cs="Arial Narrow" w:ascii="Arial Narrow" w:hAnsi="Arial Narrow"/>
          <w:sz w:val="20"/>
          <w:szCs w:val="20"/>
        </w:rPr>
        <w:t xml:space="preserve"> ("</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following terms.  Company to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Customer to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AND COMMUNICATION TO  COMPANY, AS FOLLOWS:</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Deal Clearing and Documentation Group</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646-4816</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BILLING, INVOICES AND ACCOUNTING MATTERS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Client Services</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646-8420</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WIRE PAYMENTS TO COMPANY:</w:t>
      </w:r>
    </w:p>
    <w:p>
      <w:pPr>
        <w:pStyle w:val="Normal"/>
        <w:widowControl/>
        <w:jc w:val="both"/>
        <w:rPr/>
      </w:pPr>
      <w:r>
        <w:rPr>
          <w:rFonts w:eastAsia="Arial Narrow" w:cs="Arial Narrow" w:ascii="Arial Narrow" w:hAnsi="Arial Narrow"/>
          <w:sz w:val="20"/>
          <w:szCs w:val="20"/>
        </w:rPr>
        <w:t xml:space="preserve">ABA Routing </w:t>
      </w:r>
      <w:r>
        <w:rPr>
          <w:rFonts w:eastAsia="Arial Narrow" w:cs="Arial Narrow" w:ascii="Arial Narrow" w:hAnsi="Arial Narrow"/>
          <w:b/>
          <w:bCs/>
          <w:sz w:val="20"/>
          <w:szCs w:val="20"/>
        </w:rPr>
        <w:t>[</w:t>
      </w:r>
      <w:r>
        <w:rPr>
          <w:rFonts w:eastAsia="Arial Narrow" w:cs="Arial Narrow" w:ascii="Arial Narrow" w:hAnsi="Arial Narrow"/>
          <w:sz w:val="20"/>
          <w:szCs w:val="20"/>
        </w:rPr>
        <w:t>_#########_</w:t>
      </w:r>
      <w:r>
        <w:rPr>
          <w:rFonts w:eastAsia="Arial Narrow" w:cs="Arial Narrow" w:ascii="Arial Narrow" w:hAnsi="Arial Narrow"/>
          <w:b/>
          <w:bCs/>
          <w:sz w:val="20"/>
          <w:szCs w:val="20"/>
        </w:rPr>
        <w:t>]</w:t>
      </w:r>
      <w:r>
        <w:rPr>
          <w:rFonts w:eastAsia="Arial Narrow" w:cs="Arial Narrow" w:ascii="Arial Narrow" w:hAnsi="Arial Narrow"/>
          <w:sz w:val="20"/>
          <w:szCs w:val="20"/>
        </w:rPr>
        <w:t xml:space="preserve"> NationsBank Tx  Account  </w:t>
      </w:r>
      <w:r>
        <w:rPr>
          <w:rFonts w:eastAsia="Arial Narrow" w:cs="Arial Narrow" w:ascii="Arial Narrow" w:hAnsi="Arial Narrow"/>
          <w:b/>
          <w:bCs/>
          <w:sz w:val="20"/>
          <w:szCs w:val="20"/>
        </w:rPr>
        <w:t>[</w:t>
      </w:r>
      <w:r>
        <w:rPr>
          <w:rFonts w:eastAsia="Arial Narrow" w:cs="Arial Narrow" w:ascii="Arial Narrow" w:hAnsi="Arial Narrow"/>
          <w:sz w:val="20"/>
          <w:szCs w:val="20"/>
        </w:rPr>
        <w:t>_###########_</w:t>
      </w:r>
      <w:r>
        <w:rPr>
          <w:rFonts w:eastAsia="Arial Narrow" w:cs="Arial Narrow" w:ascii="Arial Narrow" w:hAnsi="Arial Narrow"/>
          <w:b/>
          <w:bCs/>
          <w:sz w:val="20"/>
          <w:szCs w:val="20"/>
        </w:rPr>
        <w:t>]</w:t>
      </w:r>
      <w:r>
        <w:rPr>
          <w:rFonts w:eastAsia="Arial Narrow" w:cs="Arial Narrow" w:ascii="Arial Narrow" w:hAnsi="Arial Narrow"/>
          <w:sz w:val="20"/>
          <w:szCs w:val="20"/>
        </w:rPr>
        <w:t xml:space="preserve"> </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NOMINATIONS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1(800)356-9427/1(800)FLOWGAS</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SCHEDULING CONFIRMATIONS TO COMPANY: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ECT Gas Trading, Facsimile No.: (713) 646-2531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 xml:space="preserve">The period of delivery shall commence on the in-service date of Wyoming Interstate Company’s (“WIC”) loop tie-in facilities (the “Tie-In Date”) and terminate on WIC’s Medicine Bow Loop in-service date (the “Loop In-Service Date”) as such dates are established under the WIC FT Agreement (hereafter defined).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b/>
          <w:bCs/>
          <w:caps/>
          <w:sz w:val="20"/>
          <w:szCs w:val="20"/>
        </w:rPr>
        <w:t>Maximum Daily Quantity</w:t>
      </w:r>
      <w:r>
        <w:rPr>
          <w:rFonts w:eastAsia="Arial Narrow" w:cs="Arial Narrow" w:ascii="Arial Narrow" w:hAnsi="Arial Narrow"/>
          <w:b/>
          <w:bCs/>
          <w:sz w:val="20"/>
          <w:szCs w:val="20"/>
        </w:rPr>
        <w:t xml:space="preserve"> (MDQ) (IN MMBTUS):  </w:t>
        <w:tab/>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ind w:firstLine="720" w:start="1440" w:end="0"/>
        <w:jc w:val="both"/>
        <w:rPr>
          <w:rFonts w:ascii="Arial Narrow" w:hAnsi="Arial Narrow" w:eastAsia="Arial Narrow" w:cs="Arial Narrow"/>
          <w:sz w:val="20"/>
          <w:szCs w:val="20"/>
        </w:rPr>
      </w:pPr>
      <w:r>
        <w:rPr>
          <w:rFonts w:eastAsia="Arial Narrow" w:cs="Arial Narrow" w:ascii="Arial Narrow" w:hAnsi="Arial Narrow"/>
          <w:sz w:val="20"/>
          <w:szCs w:val="20"/>
        </w:rPr>
        <w:t>Tie-In Date through September 5, 2001 – 810 MMBtu per Day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b/>
        <w:tab/>
        <w:tab/>
        <w:t>September 8, 2001 through September 12, 2001 – 1,180 MMBtu per Day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b/>
        <w:tab/>
        <w:tab/>
        <w:t>September 13, 2001 through September 19, 2001 – 1,530 MMBtu per Day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b/>
        <w:tab/>
        <w:tab/>
        <w:t>September 20, 2001 through October 1, 2001 – 1,780 MMBtu per Day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b/>
        <w:tab/>
        <w:tab/>
        <w:t>October 2, 2001 through October 10, 2001 – 2,220 MMBtu per Day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b/>
        <w:tab/>
        <w:tab/>
        <w:t>October 11, 2001 through October 20, 2001 – 2,690 MMBtu per Day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b/>
        <w:tab/>
        <w:tab/>
        <w:t>October 21, 2001 through Loop-In Service Date – 3,170 MMBtu per Day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tabs>
          <w:tab w:val="clear" w:pos="720"/>
          <w:tab w:val="center" w:pos="10800" w:leader="none"/>
        </w:tabs>
        <w:jc w:val="both"/>
        <w:rPr/>
      </w:pPr>
      <w:r>
        <w:rPr>
          <w:rFonts w:eastAsia="Arial Narrow" w:cs="Arial Narrow" w:ascii="Arial Narrow" w:hAnsi="Arial Narrow"/>
          <w:b/>
          <w:bCs/>
          <w:sz w:val="20"/>
          <w:szCs w:val="20"/>
        </w:rPr>
        <w:t xml:space="preserve">CONTRACT PRICE:  </w:t>
      </w:r>
      <w:r>
        <w:rPr>
          <w:rFonts w:eastAsia="Arial Narrow" w:cs="Arial Narrow" w:ascii="Arial Narrow" w:hAnsi="Arial Narrow"/>
          <w:sz w:val="20"/>
          <w:szCs w:val="20"/>
        </w:rPr>
        <w:t xml:space="preserve">Per MMBtu, determined on a dry basis, for gas delivered hereunder each Day, equal to the </w:t>
      </w:r>
      <w:r>
        <w:rPr>
          <w:rFonts w:eastAsia="Arial Narrow" w:cs="Arial Narrow" w:ascii="Arial Narrow" w:hAnsi="Arial Narrow"/>
          <w:color w:val="000000"/>
          <w:sz w:val="20"/>
          <w:szCs w:val="20"/>
        </w:rPr>
        <w:t xml:space="preserve">“Daily Midpoint” price set forth in </w:t>
      </w:r>
      <w:r>
        <w:rPr>
          <w:rFonts w:eastAsia="Arial Narrow" w:cs="Arial Narrow" w:ascii="Arial Narrow" w:hAnsi="Arial Narrow"/>
          <w:color w:val="000000"/>
          <w:sz w:val="20"/>
          <w:szCs w:val="20"/>
          <w:u w:val="single"/>
        </w:rPr>
        <w:t>Gas Daily</w:t>
      </w:r>
      <w:r>
        <w:rPr>
          <w:rFonts w:eastAsia="Arial Narrow" w:cs="Arial Narrow" w:ascii="Arial Narrow" w:hAnsi="Arial Narrow"/>
          <w:color w:val="000000"/>
          <w:sz w:val="20"/>
          <w:szCs w:val="20"/>
        </w:rPr>
        <w:t>® (Financial Times Energy), or successor publication, in the column "Daily Price Survey" under the listing applicable to</w:t>
      </w:r>
      <w:r>
        <w:rPr>
          <w:rFonts w:eastAsia="Arial Narrow" w:cs="Arial Narrow" w:ascii="Arial Narrow" w:hAnsi="Arial Narrow"/>
          <w:sz w:val="20"/>
          <w:szCs w:val="20"/>
        </w:rPr>
        <w:t xml:space="preserve"> CIG (N. System) for each calendar day of the Period of Delivery plus $0.10, minus any and all costs and expenses incurred by Company, including without limitation, fuel and lost and unaccounted for, attributable to the compression, gathering, or other post production operations necessary to gather the gas for delivery into the pipeline system of Wyoming Interstate Company, Colorado Interstate Gas Compnay, or KN Energy, Inc. at Glenrock.</w:t>
      </w:r>
      <w:r>
        <w:rPr>
          <w:rFonts w:eastAsia="Arial Narrow" w:cs="Arial Narrow" w:ascii="Arial Narrow" w:hAnsi="Arial Narrow"/>
          <w:color w:val="000000"/>
          <w:sz w:val="20"/>
          <w:szCs w:val="20"/>
        </w:rPr>
        <w:t xml:space="preserve">  If there is no single "Daily Midpoint" price published for that particular Gas Day, but there is published a "Common" price range under such column and listing, then the Gas Daily Price shall be the average of such "Common" high and low prices.</w:t>
      </w:r>
      <w:r>
        <w:rPr>
          <w:rFonts w:eastAsia="Arial Narrow" w:cs="Arial Narrow" w:ascii="Arial Narrow" w:hAnsi="Arial Narrow"/>
          <w:sz w:val="20"/>
          <w:szCs w:val="20"/>
        </w:rPr>
        <w:t xml:space="preserve">  </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RELEASED GAS:  </w:t>
      </w:r>
      <w:r>
        <w:rPr>
          <w:rFonts w:eastAsia="Arial Narrow" w:cs="Arial Narrow" w:ascii="Arial Narrow" w:hAnsi="Arial Narrow"/>
          <w:sz w:val="20"/>
          <w:szCs w:val="20"/>
        </w:rPr>
        <w:t xml:space="preserve">Notwithstanding anything to the contrary contained in the GTC (hereafter defined) or this Confirmation, Seller and Buyer agree that the Buyer shall only have the right to take and purchase that portion of the Seller’s Daily Deliverability up to the MDQ that has been released from committment that certain Gas Purchase Agreement (Reserve Committed/Index Pricing) between Buyer and Seller dated August 27, 1999 (the “Long Term Contract”).  Futhermore, Seller and Buyer agree that the portion of Seller’s Daily Delivery being purchased by Buyer hereunder has been released from the Long Term Contract in accordance with the Long Term Contract’s terms and conditions.  Seller acknowledges that Seller requested Buyer to purchase such released gas and that Buyer submitted an offer to purchase such released gas which has been accepted by the Seller and such agreement is contained herein.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b/>
          <w:bCs/>
          <w:sz w:val="20"/>
          <w:szCs w:val="20"/>
        </w:rPr>
        <w:t>WYOMING ROYALTY ACT:</w:t>
      </w:r>
      <w:r>
        <w:rPr>
          <w:rFonts w:eastAsia="Arial Narrow" w:cs="Arial Narrow" w:ascii="Arial Narrow" w:hAnsi="Arial Narrow"/>
          <w:sz w:val="20"/>
          <w:szCs w:val="20"/>
        </w:rPr>
        <w:t xml:space="preserve">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COMMITTED RESERVES:  </w:t>
      </w:r>
      <w:r>
        <w:rPr>
          <w:rFonts w:eastAsia="Arial Narrow" w:cs="Arial Narrow" w:ascii="Arial Narrow" w:hAnsi="Arial Narrow"/>
          <w:sz w:val="20"/>
          <w:szCs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attributable to, the wells as set forth below, together with any pool, communitized area or unit applicable to such wells, and any and all hereafter acquired interests in production from such wells and any and all renewals and extensions or amendments of any of the same, limited to the MDQ as set forth above.</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sz w:val="20"/>
          <w:szCs w:val="20"/>
          <w:u w:val="single"/>
        </w:rPr>
      </w:pPr>
      <w:r>
        <w:rPr>
          <w:rFonts w:eastAsia="Arial Narrow" w:cs="Arial Narrow" w:ascii="Arial Narrow" w:hAnsi="Arial Narrow"/>
          <w:b/>
          <w:bCs/>
          <w:sz w:val="20"/>
          <w:szCs w:val="20"/>
        </w:rPr>
        <w:t xml:space="preserve">FIELD NAME/COUNTY/STATE: </w:t>
      </w:r>
      <w:r>
        <w:rPr>
          <w:rFonts w:eastAsia="Arial Narrow" w:cs="Arial Narrow" w:ascii="Arial Narrow" w:hAnsi="Arial Narrow"/>
          <w:sz w:val="20"/>
          <w:szCs w:val="20"/>
        </w:rPr>
        <w:t>SOUTH KITTY &amp; NORTH KITTY/__________________/WYOMING</w:t>
      </w:r>
    </w:p>
    <w:p>
      <w:pPr>
        <w:pStyle w:val="Normal"/>
        <w:widowControl/>
        <w:jc w:val="both"/>
        <w:rPr>
          <w:rFonts w:ascii="Arial Narrow" w:hAnsi="Arial Narrow" w:eastAsia="Arial Narrow" w:cs="Arial Narrow"/>
          <w:b/>
          <w:bCs/>
          <w:sz w:val="20"/>
          <w:szCs w:val="20"/>
          <w:u w:val="single"/>
        </w:rPr>
      </w:pPr>
      <w:r>
        <w:rPr>
          <w:rFonts w:eastAsia="Arial Narrow" w:cs="Arial Narrow" w:ascii="Arial Narrow" w:hAnsi="Arial Narrow"/>
          <w:b/>
          <w:bCs/>
          <w:sz w:val="20"/>
          <w:szCs w:val="20"/>
          <w:u w:val="single"/>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u w:val="single"/>
        </w:rPr>
        <w:t>WELL NAME                                                                 METER NO./PIPELINE</w:t>
        <w:tab/>
        <w:tab/>
        <w:tab/>
        <w:tab/>
        <w:t>WORKING INTEREST</w:t>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rPr>
        <w:t>See Exhibit “A” attached hereto.</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DELIVERY POINT(S):</w:t>
      </w:r>
      <w:r>
        <w:rPr>
          <w:rFonts w:eastAsia="Arial Narrow" w:cs="Arial Narrow" w:ascii="Arial Narrow" w:hAnsi="Arial Narrow"/>
          <w:sz w:val="20"/>
          <w:szCs w:val="20"/>
        </w:rPr>
        <w:t xml:space="preserve">  See the well names on Exhibit “A” attached hereto.</w:t>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b/>
          <w:bCs/>
          <w:sz w:val="20"/>
          <w:szCs w:val="20"/>
        </w:rPr>
        <w:t xml:space="preserve">CONDITION PRECEDENT:  </w:t>
      </w:r>
      <w:r>
        <w:rPr>
          <w:rFonts w:eastAsia="Arial Narrow" w:cs="Arial Narrow" w:ascii="Arial Narrow" w:hAnsi="Arial Narrow"/>
          <w:sz w:val="20"/>
          <w:szCs w:val="20"/>
        </w:rPr>
        <w:t>Buyer shall use reasonable efforts to obtain firm transportation under the terms and conditions acceptable to Buyer, necessary to transport the MDQ on the Medicine Bow Lateral facilities of Wyoming Interstate Company, Ltd (“WIC”) under that certain Firm Transportation Service Agreement – Rate Schedule FT (Medicine Bow Loop Tie-in Capacity) between Buyer and Wyoming Interstate Company, Ltd. dated May 1, 2001 (Contract No. 41104000), as it may be amended (the “WIC FT Agreement”), for firm delivery service to Cheyenne (Rockport) for the Period of Delivery (the “Transportation Requirements”).  Company shall inform Customer forthwith in writing upon obtaining the Transportation Requirements.  If Company does not obtain the Transportation Requirements, on terms and conditions acceptable to Company, then Company shall provide Customer written notice of such failure to obtain the Transportation Requirements and upon such notice either Company or Customer may terminate this Confirmation by giving 10 days prior written notice thereof to the other Party.</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b/>
          <w:bCs/>
          <w:sz w:val="20"/>
          <w:szCs w:val="20"/>
        </w:rPr>
        <w:t xml:space="preserve">MODIFICATIONS TO MDQ:  </w:t>
      </w:r>
      <w:r>
        <w:rPr>
          <w:rFonts w:eastAsia="Arial Narrow" w:cs="Arial Narrow" w:ascii="Arial Narrow" w:hAnsi="Arial Narrow"/>
          <w:sz w:val="20"/>
          <w:szCs w:val="20"/>
        </w:rPr>
        <w:t xml:space="preserve">Customer acknowledges that the MDQ hereunder reflects the Company’s maximum daily quantity under the WIC FT Agreement and accordingly this Confirmation shall be revised to reflect any changes imposed by WIC to Company’s maximum daily quanitity under the WIC FT Agreement.  Without limiting the generality of the foregoing, if (i) Company is allocated some portion of the MDQ, in accordance with the WIC FT Agreement, (ii) the Company is unable to obtain, on terms and conditions acceptable to Company, the Transportation Requirements related to some portion of the MDQ, or (iii) the dates set forth in the MDQ section above are modified by WIC, the MDQ hereunder shall be revised to equal that portion of the MDQ allocated to Company or obtained by Company from WIC and the dates for step up of the MDQ as specified by WIC.  If Company is allocated a maximum daily quantity under the WIC FT Agreement that is greater than the MDQ hereunder, the MDQ hereunder shall be revised to equal the increased maximum daily quantity under the WIC FT Agreement.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sz w:val="20"/>
          <w:szCs w:val="20"/>
        </w:rPr>
        <w:t>This Confirmation is being provided pursuant to and in accordance with the ENFOLIO PURCHASE FROM COMMITTED RESERVES GENERAL TERMS &amp; CONDITIONS (the "</w:t>
      </w:r>
      <w:r>
        <w:rPr>
          <w:rFonts w:eastAsia="Arial Narrow" w:cs="Arial Narrow" w:ascii="Arial Narrow" w:hAnsi="Arial Narrow"/>
          <w:sz w:val="20"/>
          <w:szCs w:val="20"/>
          <w:u w:val="single"/>
        </w:rPr>
        <w:t>GTC</w:t>
      </w:r>
      <w:r>
        <w:rPr>
          <w:rFonts w:eastAsia="Arial Narrow" w:cs="Arial Narrow" w:ascii="Arial Narrow" w:hAnsi="Arial Narrow"/>
          <w:sz w:val="20"/>
          <w:szCs w:val="20"/>
        </w:rPr>
        <w:t xml:space="preserve">")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  With respect to the above stated Transaction Number, 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eastAsia="Arial Narrow" w:cs="Arial Narrow" w:ascii="Arial Narrow" w:hAnsi="Arial Narrow"/>
          <w:b/>
          <w:bCs/>
          <w:sz w:val="20"/>
          <w:szCs w:val="20"/>
        </w:rPr>
        <w:t>The parties intend that this GTC and the Confirmation shall govern the Transaction until superseded by contract restatement.</w:t>
      </w:r>
      <w:r>
        <w:rPr>
          <w:rFonts w:eastAsia="Arial Narrow" w:cs="Arial Narrow" w:ascii="Arial Narrow" w:hAnsi="Arial Narrow"/>
          <w:sz w:val="20"/>
          <w:szCs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ENRON NORTH AMERICA CORP.</w:t>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20"/>
                <w:szCs w:val="20"/>
              </w:rPr>
            </w:pPr>
            <w:r>
              <w:rPr>
                <w:rFonts w:eastAsia="Arial Narrow" w:cs="Arial Narrow" w:ascii="Arial Narrow" w:hAnsi="Arial Narrow"/>
                <w:sz w:val="20"/>
                <w:szCs w:val="20"/>
              </w:rPr>
              <w:t>KENNEDY OIL</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By:</w:t>
              <w:tab/>
            </w:r>
            <w:r>
              <w:rPr>
                <w:rFonts w:eastAsia="Arial Narrow" w:cs="Arial Narrow" w:ascii="Arial Narrow" w:hAnsi="Arial Narrow"/>
                <w:sz w:val="20"/>
                <w:szCs w:val="20"/>
                <w:u w:val="single"/>
              </w:rPr>
              <w:tab/>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pPr>
            <w:r>
              <w:rPr>
                <w:rFonts w:eastAsia="Arial Narrow" w:cs="Arial Narrow" w:ascii="Arial Narrow" w:hAnsi="Arial Narrow"/>
                <w:sz w:val="20"/>
                <w:szCs w:val="20"/>
              </w:rPr>
              <w:t>By:</w:t>
            </w:r>
            <w:r>
              <w:rPr>
                <w:rFonts w:eastAsia="Arial Narrow" w:cs="Arial Narrow" w:ascii="Arial Narrow" w:hAnsi="Arial Narrow"/>
                <w:sz w:val="20"/>
                <w:szCs w:val="20"/>
                <w:u w:val="single"/>
              </w:rPr>
              <w:tab/>
            </w:r>
            <w:r>
              <w:rPr>
                <w:rFonts w:eastAsia="Arial Narrow" w:cs="Arial Narrow" w:ascii="Arial Narrow" w:hAnsi="Arial Narrow"/>
                <w:sz w:val="20"/>
                <w:szCs w:val="20"/>
              </w:rPr>
              <w:t>_______________________________________________</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Name:</w:t>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20"/>
                <w:szCs w:val="20"/>
              </w:rPr>
            </w:pPr>
            <w:r>
              <w:rPr>
                <w:rFonts w:eastAsia="Arial Narrow" w:cs="Arial Narrow" w:ascii="Arial Narrow" w:hAnsi="Arial Narrow"/>
                <w:sz w:val="20"/>
                <w:szCs w:val="20"/>
              </w:rPr>
              <w:t>Name:</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19"/>
                <w:szCs w:val="19"/>
              </w:rPr>
            </w:pPr>
            <w:r>
              <w:rPr>
                <w:rFonts w:eastAsia="Arial Narrow" w:cs="Arial Narrow" w:ascii="Arial Narrow" w:hAnsi="Arial Narrow"/>
                <w:sz w:val="19"/>
                <w:szCs w:val="19"/>
              </w:rPr>
              <w:t>Title:</w:t>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19"/>
                <w:szCs w:val="19"/>
              </w:rPr>
            </w:pPr>
            <w:r>
              <w:rPr>
                <w:rFonts w:eastAsia="Arial Narrow" w:cs="Arial Narrow" w:ascii="Arial Narrow" w:hAnsi="Arial Narrow"/>
                <w:sz w:val="19"/>
                <w:szCs w:val="19"/>
              </w:rPr>
              <w:t>Title:</w:t>
            </w:r>
          </w:p>
        </w:tc>
      </w:tr>
    </w:tbl>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ms Rmn">
    <w:altName w:val="Times New Roman"/>
    <w:charset w:val="01"/>
    <w:family w:val="roman"/>
    <w:pitch w:val="variable"/>
  </w:font>
  <w:font w:name="Liberation Sans">
    <w:altName w:val="Arial"/>
    <w:charset w:val="01" w:characterSet="utf-8"/>
    <w:family w:val="swiss"/>
    <w:pitch w:val="variable"/>
  </w:font>
  <w:font w:name="Arial Narrow">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eastAsia="Arial" w:cs="Arial"/>
      <w:b/>
      <w:bCs/>
      <w:i/>
      <w:iCs/>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szCs w:val="26"/>
    </w:rPr>
  </w:style>
  <w:style w:type="paragraph" w:styleId="BodyTextIndent2">
    <w:name w:val="Body Text Indent 2"/>
    <w:basedOn w:val="Normal"/>
    <w:qFormat/>
    <w:pPr>
      <w:widowControl/>
      <w:ind w:hanging="0" w:start="4680" w:end="0"/>
      <w:jc w:val="both"/>
    </w:pPr>
    <w:rPr>
      <w:rFonts w:ascii="Arial Narrow" w:hAnsi="Arial Narrow" w:eastAsia="Arial Narrow" w:cs="Arial Narrow"/>
      <w:sz w:val="19"/>
      <w:szCs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2001-05-17T12:15:00Z</dcterms:created>
  <dc:creator>ECT</dc:creator>
  <dc:description/>
  <dc:language>en-CA</dc:language>
  <cp:lastModifiedBy>gnemec</cp:lastModifiedBy>
  <cp:lastPrinted>2001-05-17T12:06:00Z</cp:lastPrinted>
  <dcterms:modified xsi:type="dcterms:W3CDTF">2001-05-17T15:12:00Z</dcterms:modified>
  <cp:revision>22</cp:revision>
  <dc:subject/>
  <dc:title>[ECT LETTERHEAD]</dc:title>
</cp:coreProperties>
</file>