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In the event that Enron Corp. shall have senior unsecured long-term debt unsupported by third party credit enhancement that is rated by Standard &amp; Poor's Corporation below BBB-, Kennedy may request that ENA to establish a Letter of Credit as the Account Party in an amount reasonably sufficient to cover six months of payment by ENA for the Firm Quantity, or such other collateral as may be reasonably acceptable to Kennedy.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2001-11-09T17:22:00Z</dcterms:created>
  <dc:creator>gnemec</dc:creator>
  <dc:description/>
  <dc:language>en-CA</dc:language>
  <cp:lastModifiedBy>gnemec</cp:lastModifiedBy>
  <dcterms:modified xsi:type="dcterms:W3CDTF">2001-11-09T17:28:00Z</dcterms:modified>
  <cp:revision>1</cp:revision>
  <dc:subject/>
  <dc:title>In the event that Enron Corp</dc:title>
</cp:coreProperties>
</file>