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 xml:space="preserve">PRINCIPAL CHANGES PROPOSED BY PSEG TO 2/8/01 DRAFT </w:t>
      </w:r>
    </w:p>
    <w:p>
      <w:pPr>
        <w:pStyle w:val="Normal"/>
        <w:jc w:val="center"/>
        <w:rPr/>
      </w:pPr>
      <w:r>
        <w:rPr/>
        <w:t xml:space="preserve">OF KENDALL NEW CENTURY PURCHASE AGREEMENT </w:t>
      </w:r>
    </w:p>
    <w:p>
      <w:pPr>
        <w:pStyle w:val="Normal"/>
        <w:rPr/>
      </w:pPr>
      <w:r>
        <w:rPr/>
      </w:r>
    </w:p>
    <w:p>
      <w:pPr>
        <w:pStyle w:val="Normal"/>
        <w:rPr/>
      </w:pPr>
      <w:r>
        <w:rPr/>
      </w:r>
    </w:p>
    <w:p>
      <w:pPr>
        <w:pStyle w:val="Normal"/>
        <w:jc w:val="both"/>
        <w:rPr/>
      </w:pPr>
      <w:r>
        <w:rPr/>
        <w:t>The following outlines the principal changes proposed by PSEG to the 2/8/01 draft of the Purchase Agreement relating to the Membership Interests in Kendall New Century Development, LLC (“Kendall New Century”):</w:t>
      </w:r>
    </w:p>
    <w:p>
      <w:pPr>
        <w:pStyle w:val="Normal"/>
        <w:jc w:val="both"/>
        <w:rPr/>
      </w:pPr>
      <w:r>
        <w:rPr/>
      </w:r>
    </w:p>
    <w:p>
      <w:pPr>
        <w:pStyle w:val="Normal"/>
        <w:numPr>
          <w:ilvl w:val="0"/>
          <w:numId w:val="5"/>
        </w:numPr>
        <w:jc w:val="both"/>
        <w:rPr/>
      </w:pPr>
      <w:r>
        <w:rPr/>
        <w:t>Article III. Seller’s representations and warranties.</w:t>
      </w:r>
    </w:p>
    <w:p>
      <w:pPr>
        <w:pStyle w:val="Normal"/>
        <w:ind w:start="720" w:end="0"/>
        <w:jc w:val="both"/>
        <w:rPr/>
      </w:pPr>
      <w:r>
        <w:rPr/>
      </w:r>
    </w:p>
    <w:p>
      <w:pPr>
        <w:pStyle w:val="Normal"/>
        <w:numPr>
          <w:ilvl w:val="0"/>
          <w:numId w:val="4"/>
        </w:numPr>
        <w:jc w:val="both"/>
        <w:rPr/>
      </w:pPr>
      <w:r>
        <w:rPr/>
        <w:t>Add representations and warranties by Seller regarding the Option Agreement and the Option Property including representations and warranties relating to (i) Optionor’s title to the Option Property, (ii) condition and suitability of the Option Property and compliance of the Option Property with applicable requirements of Law, (iii) Environmental Claims applicable to the Option Property, (iv) certain actions taken by Kendall New Century pursuant to provisions of the Option Agreement, (v) validity and enforceability of Option Agreement with respect to the Optionor, (vi) no conflict of Option Agreement with any legal requirements or commitments applicable to Optionor or the Option Property, (vii) compliance by the Optionor with obligations under the Option Agreement and any requirements of Law applicable to the Option Agreement or the performance by the Optionor of its obligations under the Option Agreement, (viii) no condemnation or casualty loss applicable to the Option Property, (ix) no violations of law applicable to the Option Property and (x) no litigation or claims applicable to the Option Property, the use of the Option Property for the Project or relating to the performance by Optionor under the Option Agreement.</w:t>
      </w:r>
    </w:p>
    <w:p>
      <w:pPr>
        <w:pStyle w:val="Normal"/>
        <w:ind w:start="720" w:end="0"/>
        <w:jc w:val="both"/>
        <w:rPr/>
      </w:pPr>
      <w:r>
        <w:rPr/>
      </w:r>
    </w:p>
    <w:p>
      <w:pPr>
        <w:pStyle w:val="Normal"/>
        <w:numPr>
          <w:ilvl w:val="0"/>
          <w:numId w:val="4"/>
        </w:numPr>
        <w:jc w:val="both"/>
        <w:rPr/>
      </w:pPr>
      <w:r>
        <w:rPr/>
        <w:t xml:space="preserve">Additional representations and warranties by Seller regarding the other Kendall Project Documents including (i) certain actions taken by Kendall New Century pursuant to provisions of such Kendall Project Documents, (ii) validity and enforceability of such Kendall Project Documents with respect to the counterparties thereto, (v) no conflict of such Kendall Project Documents with any legal requirements or commitments applicable to the counterparties thereto, the Project or the Option Property, (v) compliance by the counterparties thereto with obligations under such Kendall Project Documents and any requirements of Law applicable to such Kendall Project Documents of such counterparties’ performance thereunder and (vi) no litigation or claims applicable to such Kendall Project Documents or the performance by the counterparties thereunder. </w:t>
      </w:r>
    </w:p>
    <w:p>
      <w:pPr>
        <w:pStyle w:val="Normal"/>
        <w:ind w:start="720" w:end="0"/>
        <w:jc w:val="both"/>
        <w:rPr/>
      </w:pPr>
      <w:r>
        <w:rPr/>
      </w:r>
    </w:p>
    <w:p>
      <w:pPr>
        <w:pStyle w:val="Normal"/>
        <w:numPr>
          <w:ilvl w:val="0"/>
          <w:numId w:val="4"/>
        </w:numPr>
        <w:jc w:val="both"/>
        <w:rPr/>
      </w:pPr>
      <w:r>
        <w:rPr/>
        <w:t>Additional representations and warranties by Seller regarding the Project including (i) no modification or suspension of any Governmental Approvals and (ii) no knowledge of the denial of, or the inability to procure, any consents, approvals or authorizations required for the Project.</w:t>
      </w:r>
    </w:p>
    <w:p>
      <w:pPr>
        <w:pStyle w:val="Normal"/>
        <w:ind w:start="720" w:end="0"/>
        <w:jc w:val="both"/>
        <w:rPr/>
      </w:pPr>
      <w:r>
        <w:rPr/>
      </w:r>
    </w:p>
    <w:p>
      <w:pPr>
        <w:pStyle w:val="Normal"/>
        <w:numPr>
          <w:ilvl w:val="0"/>
          <w:numId w:val="4"/>
        </w:numPr>
        <w:jc w:val="both"/>
        <w:rPr/>
      </w:pPr>
      <w:r>
        <w:rPr/>
        <w:t>Add more complete representation and warranty regarding organization and company power and authority of Kendall New Century including identification of any other formation and governance documents and agreements (eg. LLC operating agreement), any other jurisdictions in which Kendall New Century is authorized to do business and all officer and agents authorized to act on behalf of Kendall New Century.</w:t>
      </w:r>
    </w:p>
    <w:p>
      <w:pPr>
        <w:pStyle w:val="Normal"/>
        <w:ind w:start="720" w:end="0"/>
        <w:jc w:val="both"/>
        <w:rPr/>
      </w:pPr>
      <w:r>
        <w:rPr/>
      </w:r>
    </w:p>
    <w:p>
      <w:pPr>
        <w:pStyle w:val="Normal"/>
        <w:numPr>
          <w:ilvl w:val="0"/>
          <w:numId w:val="4"/>
        </w:numPr>
        <w:jc w:val="both"/>
        <w:rPr/>
      </w:pPr>
      <w:r>
        <w:rPr/>
        <w:t xml:space="preserve">Add representations and warranties regarding financial condition of Kendall New Century (eg. current financial statements) and identifying all indebtedness for borrowed money, contracts, commitments and other obligations of Kendall New Century and any intercompany obligations. </w:t>
      </w:r>
    </w:p>
    <w:p>
      <w:pPr>
        <w:pStyle w:val="Normal"/>
        <w:ind w:start="720" w:end="0"/>
        <w:jc w:val="both"/>
        <w:rPr/>
      </w:pPr>
      <w:r>
        <w:rPr/>
      </w:r>
    </w:p>
    <w:p>
      <w:pPr>
        <w:pStyle w:val="Normal"/>
        <w:numPr>
          <w:ilvl w:val="0"/>
          <w:numId w:val="4"/>
        </w:numPr>
        <w:jc w:val="both"/>
        <w:rPr/>
      </w:pPr>
      <w:r>
        <w:rPr/>
        <w:t>Remove materiality qualifier in Section 3.9 as it relates to Kendall New Century.</w:t>
      </w:r>
    </w:p>
    <w:p>
      <w:pPr>
        <w:pStyle w:val="Normal"/>
        <w:ind w:start="720" w:end="0"/>
        <w:jc w:val="both"/>
        <w:rPr/>
      </w:pPr>
      <w:r>
        <w:rPr/>
      </w:r>
    </w:p>
    <w:p>
      <w:pPr>
        <w:pStyle w:val="Normal"/>
        <w:numPr>
          <w:ilvl w:val="0"/>
          <w:numId w:val="5"/>
        </w:numPr>
        <w:jc w:val="both"/>
        <w:rPr/>
      </w:pPr>
      <w:r>
        <w:rPr/>
        <w:t>Section 4.9 Receipt of Information; Authorization</w:t>
      </w:r>
    </w:p>
    <w:p>
      <w:pPr>
        <w:pStyle w:val="Normal"/>
        <w:ind w:start="720" w:end="0"/>
        <w:jc w:val="both"/>
        <w:rPr/>
      </w:pPr>
      <w:r>
        <w:rPr/>
      </w:r>
    </w:p>
    <w:p>
      <w:pPr>
        <w:pStyle w:val="Normal"/>
        <w:numPr>
          <w:ilvl w:val="0"/>
          <w:numId w:val="1"/>
        </w:numPr>
        <w:jc w:val="both"/>
        <w:rPr/>
      </w:pPr>
      <w:r>
        <w:rPr/>
        <w:t>Remove this representation and warranty of Buyer.</w:t>
      </w:r>
    </w:p>
    <w:p>
      <w:pPr>
        <w:pStyle w:val="Normal"/>
        <w:ind w:start="720" w:end="0"/>
        <w:jc w:val="both"/>
        <w:rPr/>
      </w:pPr>
      <w:r>
        <w:rPr/>
      </w:r>
    </w:p>
    <w:p>
      <w:pPr>
        <w:pStyle w:val="Normal"/>
        <w:numPr>
          <w:ilvl w:val="0"/>
          <w:numId w:val="5"/>
        </w:numPr>
        <w:jc w:val="both"/>
        <w:rPr/>
      </w:pPr>
      <w:r>
        <w:rPr/>
        <w:t>Article V. Conditions Precedent.</w:t>
      </w:r>
    </w:p>
    <w:p>
      <w:pPr>
        <w:pStyle w:val="Normal"/>
        <w:ind w:start="720" w:end="0"/>
        <w:jc w:val="both"/>
        <w:rPr/>
      </w:pPr>
      <w:r>
        <w:rPr/>
      </w:r>
    </w:p>
    <w:p>
      <w:pPr>
        <w:pStyle w:val="Normal"/>
        <w:numPr>
          <w:ilvl w:val="0"/>
          <w:numId w:val="1"/>
        </w:numPr>
        <w:jc w:val="both"/>
        <w:rPr/>
      </w:pPr>
      <w:r>
        <w:rPr/>
        <w:t xml:space="preserve">Add additional conditions precedent to obligations of Buyer that (i) Seller provide an estoppel letter from Optionor confirming certain matters concerning the Option Agreement and the Option Property and (ii) the consummation of any of the actions contemplated in any of the Kendall Project Documents shall not be prohibited under any applicable Law or shall not be subject to any proceeding that seeks to enjoin or prevent such actions or that would materially delay the completion of the Project or materially increase the cost to complete the Project. </w:t>
      </w:r>
    </w:p>
    <w:p>
      <w:pPr>
        <w:pStyle w:val="Normal"/>
        <w:ind w:start="720" w:end="0"/>
        <w:jc w:val="both"/>
        <w:rPr/>
      </w:pPr>
      <w:r>
        <w:rPr/>
      </w:r>
    </w:p>
    <w:p>
      <w:pPr>
        <w:pStyle w:val="Normal"/>
        <w:numPr>
          <w:ilvl w:val="0"/>
          <w:numId w:val="5"/>
        </w:numPr>
        <w:jc w:val="both"/>
        <w:rPr/>
      </w:pPr>
      <w:r>
        <w:rPr/>
        <w:t>Article VI. Covenants.</w:t>
      </w:r>
    </w:p>
    <w:p>
      <w:pPr>
        <w:pStyle w:val="Normal"/>
        <w:ind w:start="720" w:end="0"/>
        <w:jc w:val="both"/>
        <w:rPr/>
      </w:pPr>
      <w:r>
        <w:rPr/>
      </w:r>
    </w:p>
    <w:p>
      <w:pPr>
        <w:pStyle w:val="Normal"/>
        <w:numPr>
          <w:ilvl w:val="0"/>
          <w:numId w:val="1"/>
        </w:numPr>
        <w:jc w:val="both"/>
        <w:rPr/>
      </w:pPr>
      <w:r>
        <w:rPr/>
        <w:t xml:space="preserve">Include obligation on the part of Seller from and after closing to keep information regarding the Project and Kendall New Century confidential. </w:t>
      </w:r>
    </w:p>
    <w:p>
      <w:pPr>
        <w:pStyle w:val="Normal"/>
        <w:ind w:start="720" w:end="0"/>
        <w:jc w:val="both"/>
        <w:rPr/>
      </w:pPr>
      <w:r>
        <w:rPr/>
      </w:r>
    </w:p>
    <w:p>
      <w:pPr>
        <w:pStyle w:val="Normal"/>
        <w:numPr>
          <w:ilvl w:val="0"/>
          <w:numId w:val="1"/>
        </w:numPr>
        <w:jc w:val="both"/>
        <w:rPr/>
      </w:pPr>
      <w:r>
        <w:rPr/>
        <w:t>Add additional standard restrictions regarding conduct of business pending closing including no new contracts or commitments, no dividends or distributions, no creation of liens, acquisition or disposition of assets, etc.</w:t>
      </w:r>
    </w:p>
    <w:p>
      <w:pPr>
        <w:pStyle w:val="Normal"/>
        <w:ind w:start="720" w:end="0"/>
        <w:jc w:val="both"/>
        <w:rPr/>
      </w:pPr>
      <w:r>
        <w:rPr/>
      </w:r>
    </w:p>
    <w:p>
      <w:pPr>
        <w:pStyle w:val="Normal"/>
        <w:numPr>
          <w:ilvl w:val="0"/>
          <w:numId w:val="1"/>
        </w:numPr>
        <w:jc w:val="both"/>
        <w:rPr/>
      </w:pPr>
      <w:r>
        <w:rPr/>
        <w:t>Include pre-closing covenant by Seller to provide Buyer notices of any inaccuracy of representations and warranties, claims, litigation, etc.</w:t>
      </w:r>
    </w:p>
    <w:p>
      <w:pPr>
        <w:pStyle w:val="Normal"/>
        <w:jc w:val="both"/>
        <w:rPr/>
      </w:pPr>
      <w:r>
        <w:rPr/>
      </w:r>
    </w:p>
    <w:p>
      <w:pPr>
        <w:pStyle w:val="BodyTextIndent"/>
        <w:numPr>
          <w:ilvl w:val="0"/>
          <w:numId w:val="1"/>
        </w:numPr>
        <w:jc w:val="both"/>
        <w:rPr/>
      </w:pPr>
      <w:r>
        <w:rPr/>
        <w:t>Provide for the delivery by Seller to Buyer at closing of all books, records and other documents of Kendall New Century and relating to the Project and the Project Documents.</w:t>
      </w:r>
    </w:p>
    <w:p>
      <w:pPr>
        <w:pStyle w:val="Normal"/>
        <w:ind w:start="720" w:end="0"/>
        <w:jc w:val="both"/>
        <w:rPr/>
      </w:pPr>
      <w:r>
        <w:rPr/>
      </w:r>
    </w:p>
    <w:p>
      <w:pPr>
        <w:pStyle w:val="Normal"/>
        <w:numPr>
          <w:ilvl w:val="0"/>
          <w:numId w:val="1"/>
        </w:numPr>
        <w:jc w:val="both"/>
        <w:rPr/>
      </w:pPr>
      <w:r>
        <w:rPr/>
        <w:t>Include typical post-closing covenants concerning further assurances, cooperation and access to records.</w:t>
      </w:r>
    </w:p>
    <w:p>
      <w:pPr>
        <w:pStyle w:val="Normal"/>
        <w:ind w:start="720" w:end="0"/>
        <w:jc w:val="both"/>
        <w:rPr/>
      </w:pPr>
      <w:r>
        <w:rPr/>
      </w:r>
    </w:p>
    <w:p>
      <w:pPr>
        <w:pStyle w:val="Normal"/>
        <w:numPr>
          <w:ilvl w:val="0"/>
          <w:numId w:val="1"/>
        </w:numPr>
        <w:jc w:val="both"/>
        <w:rPr/>
      </w:pPr>
      <w:r>
        <w:rPr/>
        <w:t>Include covenant regarding responsibility for preparation of tax returns applicable to Kendall New Century, etc.</w:t>
      </w:r>
    </w:p>
    <w:p>
      <w:pPr>
        <w:pStyle w:val="Normal"/>
        <w:ind w:start="720" w:end="0"/>
        <w:jc w:val="both"/>
        <w:rPr/>
      </w:pPr>
      <w:r>
        <w:rPr/>
      </w:r>
    </w:p>
    <w:p>
      <w:pPr>
        <w:pStyle w:val="Normal"/>
        <w:numPr>
          <w:ilvl w:val="0"/>
          <w:numId w:val="5"/>
        </w:numPr>
        <w:jc w:val="both"/>
        <w:rPr/>
      </w:pPr>
      <w:r>
        <w:rPr/>
        <w:t>Article VII</w:t>
      </w:r>
    </w:p>
    <w:p>
      <w:pPr>
        <w:pStyle w:val="Normal"/>
        <w:ind w:start="720" w:end="0"/>
        <w:jc w:val="both"/>
        <w:rPr/>
      </w:pPr>
      <w:r>
        <w:rPr/>
      </w:r>
    </w:p>
    <w:p>
      <w:pPr>
        <w:pStyle w:val="Normal"/>
        <w:numPr>
          <w:ilvl w:val="0"/>
          <w:numId w:val="2"/>
        </w:numPr>
        <w:jc w:val="both"/>
        <w:rPr/>
      </w:pPr>
      <w:r>
        <w:rPr/>
        <w:t>Remove the indemnity deductible and cap in Section 7.1.</w:t>
      </w:r>
    </w:p>
    <w:p>
      <w:pPr>
        <w:pStyle w:val="Normal"/>
        <w:ind w:start="720" w:end="0"/>
        <w:jc w:val="both"/>
        <w:rPr/>
      </w:pPr>
      <w:r>
        <w:rPr/>
      </w:r>
    </w:p>
    <w:p>
      <w:pPr>
        <w:pStyle w:val="Normal"/>
        <w:numPr>
          <w:ilvl w:val="0"/>
          <w:numId w:val="2"/>
        </w:numPr>
        <w:jc w:val="both"/>
        <w:rPr/>
      </w:pPr>
      <w:r>
        <w:rPr/>
        <w:t xml:space="preserve">Delete the second and third sentences of Section 7.9 (a) relating to independent investigation. </w:t>
      </w:r>
    </w:p>
    <w:p>
      <w:pPr>
        <w:pStyle w:val="Normal"/>
        <w:ind w:start="720" w:end="0"/>
        <w:jc w:val="both"/>
        <w:rPr/>
      </w:pPr>
      <w:r>
        <w:rPr/>
      </w:r>
    </w:p>
    <w:p>
      <w:pPr>
        <w:pStyle w:val="Normal"/>
        <w:numPr>
          <w:ilvl w:val="0"/>
          <w:numId w:val="2"/>
        </w:numPr>
        <w:jc w:val="both"/>
        <w:rPr/>
      </w:pPr>
      <w:r>
        <w:rPr/>
        <w:t>Relative to Section 7.9(b) we request some limited obligation on the part of Seller and its Affiliates not to  compete with the Project or not to take any action to oppose, delay or increase the cost of the Project.</w:t>
      </w:r>
    </w:p>
    <w:p>
      <w:pPr>
        <w:pStyle w:val="Normal"/>
        <w:ind w:start="720" w:end="0"/>
        <w:jc w:val="both"/>
        <w:rPr/>
      </w:pPr>
      <w:r>
        <w:rPr/>
      </w:r>
    </w:p>
    <w:p>
      <w:pPr>
        <w:pStyle w:val="Normal"/>
        <w:numPr>
          <w:ilvl w:val="0"/>
          <w:numId w:val="2"/>
        </w:numPr>
        <w:jc w:val="both"/>
        <w:rPr/>
      </w:pPr>
      <w:r>
        <w:rPr/>
        <w:t>Buyer should be free to disclose the existence of the Purchase Agreement and its rights thereunder prior to closing as necessary to facilitate its due diligence review and preparation for Project implementation.</w:t>
      </w:r>
    </w:p>
    <w:p>
      <w:pPr>
        <w:pStyle w:val="Normal"/>
        <w:ind w:start="720" w:end="0"/>
        <w:jc w:val="both"/>
        <w:rPr/>
      </w:pPr>
      <w:r>
        <w:rPr/>
      </w:r>
    </w:p>
    <w:p>
      <w:pPr>
        <w:pStyle w:val="Normal"/>
        <w:numPr>
          <w:ilvl w:val="0"/>
          <w:numId w:val="2"/>
        </w:numPr>
        <w:jc w:val="both"/>
        <w:rPr/>
      </w:pPr>
      <w:r>
        <w:rPr/>
        <w:t>Buyer proposes that Illinois law should govern.</w:t>
      </w:r>
    </w:p>
    <w:p>
      <w:pPr>
        <w:pStyle w:val="Normal"/>
        <w:ind w:start="720" w:end="0"/>
        <w:jc w:val="both"/>
        <w:rPr/>
      </w:pPr>
      <w:r>
        <w:rPr/>
      </w:r>
    </w:p>
    <w:p>
      <w:pPr>
        <w:pStyle w:val="Normal"/>
        <w:numPr>
          <w:ilvl w:val="0"/>
          <w:numId w:val="5"/>
        </w:numPr>
        <w:jc w:val="both"/>
        <w:rPr/>
      </w:pPr>
      <w:r>
        <w:rPr/>
        <w:t>Guarantee.</w:t>
      </w:r>
    </w:p>
    <w:p>
      <w:pPr>
        <w:pStyle w:val="Normal"/>
        <w:ind w:start="720" w:end="0"/>
        <w:jc w:val="both"/>
        <w:rPr/>
      </w:pPr>
      <w:r>
        <w:rPr/>
      </w:r>
    </w:p>
    <w:p>
      <w:pPr>
        <w:pStyle w:val="Normal"/>
        <w:numPr>
          <w:ilvl w:val="0"/>
          <w:numId w:val="3"/>
        </w:numPr>
        <w:jc w:val="both"/>
        <w:rPr/>
      </w:pPr>
      <w:r>
        <w:rPr/>
        <w:t>PSEG Fossil will be the Purchaser with PSEG Power providing the guarantee.</w:t>
      </w:r>
    </w:p>
    <w:p>
      <w:pPr>
        <w:pStyle w:val="Normal"/>
        <w:ind w:start="720" w:end="0"/>
        <w:jc w:val="both"/>
        <w:rPr/>
      </w:pPr>
      <w:r>
        <w:rPr/>
      </w:r>
    </w:p>
    <w:p>
      <w:pPr>
        <w:pStyle w:val="Normal"/>
        <w:numPr>
          <w:ilvl w:val="0"/>
          <w:numId w:val="5"/>
        </w:numPr>
        <w:jc w:val="both"/>
        <w:rPr/>
      </w:pPr>
      <w:r>
        <w:rPr/>
        <w:t>Other deliveries at Closing.</w:t>
      </w:r>
    </w:p>
    <w:p>
      <w:pPr>
        <w:pStyle w:val="Normal"/>
        <w:ind w:start="720" w:end="0"/>
        <w:jc w:val="both"/>
        <w:rPr/>
      </w:pPr>
      <w:r>
        <w:rPr/>
      </w:r>
    </w:p>
    <w:p>
      <w:pPr>
        <w:pStyle w:val="Normal"/>
        <w:numPr>
          <w:ilvl w:val="0"/>
          <w:numId w:val="3"/>
        </w:numPr>
        <w:tabs>
          <w:tab w:val="clear" w:pos="720"/>
          <w:tab w:val="left" w:pos="1080" w:leader="none"/>
        </w:tabs>
        <w:jc w:val="both"/>
        <w:rPr/>
      </w:pPr>
      <w:r>
        <w:rPr/>
        <w:t>Estoppel certificate from Optionor</w:t>
      </w:r>
    </w:p>
    <w:p>
      <w:pPr>
        <w:pStyle w:val="Normal"/>
        <w:tabs>
          <w:tab w:val="clear" w:pos="720"/>
          <w:tab w:val="left" w:pos="1080" w:leader="none"/>
        </w:tabs>
        <w:ind w:start="720" w:end="0"/>
        <w:jc w:val="both"/>
        <w:rPr/>
      </w:pPr>
      <w:r>
        <w:rPr/>
      </w:r>
    </w:p>
    <w:p>
      <w:pPr>
        <w:pStyle w:val="Normal"/>
        <w:numPr>
          <w:ilvl w:val="0"/>
          <w:numId w:val="3"/>
        </w:numPr>
        <w:tabs>
          <w:tab w:val="clear" w:pos="720"/>
          <w:tab w:val="left" w:pos="1080" w:leader="none"/>
        </w:tabs>
        <w:jc w:val="both"/>
        <w:rPr/>
      </w:pPr>
      <w:r>
        <w:rPr/>
        <w:t>Seller’s Opinion of Counsel</w:t>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2001-02-15T12:36:00Z</dcterms:created>
  <dc:creator>maloney</dc:creator>
  <dc:description/>
  <dc:language>en-CA</dc:language>
  <cp:lastModifiedBy>PSEG</cp:lastModifiedBy>
  <dcterms:modified xsi:type="dcterms:W3CDTF">2001-02-15T12:38:00Z</dcterms:modified>
  <cp:revision>3</cp:revision>
  <dc:subject/>
  <dc:title>PRINCIPAL CHANGES PROPOSED BY PSEG TO 2/8/01 DRAFT </dc:title>
</cp:coreProperties>
</file>