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2"/>
        </w:numPr>
        <w:rPr>
          <w:i/>
          <w:i/>
          <w:sz w:val="20"/>
        </w:rPr>
      </w:pPr>
      <w:r>
        <w:rPr>
          <w:i/>
          <w:sz w:val="20"/>
        </w:rPr>
        <w:t>Do KSR’s revenue recognition policies conform to generally accepted accounting principles with respect to:</w:t>
      </w:r>
    </w:p>
    <w:p>
      <w:pPr>
        <w:pStyle w:val="Normal"/>
        <w:numPr>
          <w:ilvl w:val="1"/>
          <w:numId w:val="2"/>
        </w:numPr>
        <w:rPr>
          <w:i/>
          <w:i/>
          <w:iCs/>
          <w:sz w:val="20"/>
        </w:rPr>
      </w:pPr>
      <w:r>
        <w:rPr>
          <w:i/>
          <w:iCs/>
          <w:sz w:val="20"/>
        </w:rPr>
        <w:t>The timing of revenue recognition?</w:t>
      </w:r>
    </w:p>
    <w:p>
      <w:pPr>
        <w:pStyle w:val="BodyTextIndent"/>
        <w:rPr/>
      </w:pPr>
      <w:r>
        <w:rPr/>
        <w:t xml:space="preserve">No.  For example, KSR recognizes sales when the customer gives written approval but prior to having finalized configuration.  Having failed to finalize configuration at the time of approval suggests that KSR does not with certainty the costs that it will incur to finalize configuration.  Generally accepted accounting principles suggest that management should defer recognition until it can state with greater certainty what the costs of finalization will be. </w:t>
      </w:r>
    </w:p>
    <w:p>
      <w:pPr>
        <w:pStyle w:val="BodyTextIndent"/>
        <w:rPr/>
      </w:pPr>
      <w:r>
        <w:rPr/>
      </w:r>
    </w:p>
    <w:p>
      <w:pPr>
        <w:pStyle w:val="Normal"/>
        <w:ind w:firstLine="360" w:start="720" w:end="0"/>
        <w:rPr>
          <w:sz w:val="20"/>
        </w:rPr>
      </w:pPr>
      <w:r>
        <w:rPr>
          <w:sz w:val="20"/>
        </w:rPr>
        <w:t>In addition, FASB No. 48 (Revenue Recognition When Right of Return Exists) dictates that products sold with a right-to-return privilege should only be recorded as sales when accompanied by an estimate of expected returns or losses and when a series of conditions are met.  One of those conditions is “The buyer has paid the seller, or the buyer is obligated to pay the seller and the obligation is not contingent on resale of the product.”  Yet KSR recognizes as sales shipments to distributors who can cancel the contract if the distributor can’t find a customer.</w:t>
      </w:r>
    </w:p>
    <w:p>
      <w:pPr>
        <w:pStyle w:val="Normal"/>
        <w:ind w:firstLine="360" w:start="720" w:end="0"/>
        <w:rPr>
          <w:sz w:val="20"/>
        </w:rPr>
      </w:pPr>
      <w:r>
        <w:rPr>
          <w:sz w:val="20"/>
        </w:rPr>
      </w:r>
    </w:p>
    <w:p>
      <w:pPr>
        <w:pStyle w:val="Normal"/>
        <w:ind w:firstLine="360" w:start="720" w:end="0"/>
        <w:rPr>
          <w:sz w:val="20"/>
        </w:rPr>
      </w:pPr>
      <w:r>
        <w:rPr>
          <w:sz w:val="20"/>
        </w:rPr>
        <w:t xml:space="preserve">Finally, FASB No. 48 would also suggest that KSR should not recognize as sales those deals in which the customer receives what amounts to a loan for 50% of the purchase price of the processors.  In these cases, 50% of the purchase price is treated as a loan against future grant awards, but KRS treats the entire shipment as a sale. </w:t>
      </w:r>
    </w:p>
    <w:p>
      <w:pPr>
        <w:pStyle w:val="Normal"/>
        <w:ind w:firstLine="360" w:start="720" w:end="0"/>
        <w:rPr>
          <w:sz w:val="20"/>
        </w:rPr>
      </w:pPr>
      <w:r>
        <w:rPr>
          <w:sz w:val="20"/>
        </w:rPr>
      </w:r>
    </w:p>
    <w:p>
      <w:pPr>
        <w:pStyle w:val="Normal"/>
        <w:numPr>
          <w:ilvl w:val="0"/>
          <w:numId w:val="1"/>
        </w:numPr>
        <w:rPr>
          <w:i/>
          <w:i/>
          <w:iCs/>
          <w:sz w:val="20"/>
        </w:rPr>
      </w:pPr>
      <w:r>
        <w:rPr>
          <w:i/>
          <w:iCs/>
          <w:sz w:val="20"/>
        </w:rPr>
        <w:t>The amount of revenue?</w:t>
      </w:r>
    </w:p>
    <w:p>
      <w:pPr>
        <w:pStyle w:val="Normal"/>
        <w:ind w:firstLine="360" w:start="720" w:end="0"/>
        <w:rPr>
          <w:sz w:val="20"/>
        </w:rPr>
      </w:pPr>
      <w:r>
        <w:rPr>
          <w:sz w:val="20"/>
        </w:rPr>
        <w:t xml:space="preserve">No.  Even in some cases where revenue recognition conforms to GAAP, the amount of revenue that KSR records does not conform.  </w:t>
      </w:r>
    </w:p>
    <w:p>
      <w:pPr>
        <w:pStyle w:val="Normal"/>
        <w:ind w:firstLine="360" w:start="720" w:end="0"/>
        <w:rPr>
          <w:sz w:val="20"/>
        </w:rPr>
      </w:pPr>
      <w:r>
        <w:rPr>
          <w:sz w:val="20"/>
        </w:rPr>
      </w:r>
    </w:p>
    <w:p>
      <w:pPr>
        <w:pStyle w:val="Normal"/>
        <w:ind w:firstLine="360" w:start="720" w:end="0"/>
        <w:rPr>
          <w:sz w:val="20"/>
        </w:rPr>
      </w:pPr>
      <w:r>
        <w:rPr>
          <w:sz w:val="20"/>
        </w:rPr>
        <w:t>For example, KRS cut a deal that permitted a customer to cancel a $1.5 million contract if KRS did not complete the second of two phases of the deal.  In this case, KRS should not book $1.5 million as sales in the current period.  If the two-phase structure of the deal constitutes a long-term contract, the percentage-of-completion method might be more appropriate.</w:t>
      </w:r>
    </w:p>
    <w:p>
      <w:pPr>
        <w:pStyle w:val="Normal"/>
        <w:ind w:firstLine="360" w:start="720" w:end="0"/>
        <w:rPr>
          <w:sz w:val="20"/>
        </w:rPr>
      </w:pPr>
      <w:r>
        <w:rPr>
          <w:sz w:val="20"/>
        </w:rPr>
      </w:r>
    </w:p>
    <w:p>
      <w:pPr>
        <w:pStyle w:val="Normal"/>
        <w:ind w:firstLine="360" w:start="720" w:end="0"/>
        <w:rPr>
          <w:sz w:val="20"/>
        </w:rPr>
      </w:pPr>
      <w:r>
        <w:rPr>
          <w:sz w:val="20"/>
        </w:rPr>
        <w:t>In addition, it is highly questionable whether KSR should recognize as sales the entire portion of deals struck with researchers whose ability to pay depends on winning future grants, particularly since the researchers’ chances of winning the grants are not guaranteed.  When payment for these sorts of deals is “grant-dependent,” KSR should make an allowance to recognize the fact that payment might not materialize.</w:t>
      </w:r>
    </w:p>
    <w:p>
      <w:pPr>
        <w:pStyle w:val="Normal"/>
        <w:ind w:firstLine="360" w:start="720" w:end="0"/>
        <w:rPr>
          <w:sz w:val="20"/>
        </w:rPr>
      </w:pPr>
      <w:r>
        <w:rPr>
          <w:sz w:val="20"/>
        </w:rPr>
      </w:r>
    </w:p>
    <w:p>
      <w:pPr>
        <w:pStyle w:val="Normal"/>
        <w:numPr>
          <w:ilvl w:val="0"/>
          <w:numId w:val="1"/>
        </w:numPr>
        <w:rPr>
          <w:i/>
          <w:i/>
          <w:sz w:val="20"/>
        </w:rPr>
      </w:pPr>
      <w:r>
        <w:rPr>
          <w:i/>
          <w:sz w:val="20"/>
        </w:rPr>
        <w:t>The matching of costs and expenses to revenues.</w:t>
      </w:r>
    </w:p>
    <w:p>
      <w:pPr>
        <w:pStyle w:val="BodyTextIndent2"/>
        <w:rPr/>
      </w:pPr>
      <w:r>
        <w:rPr/>
        <w:t xml:space="preserve">The matching of costs and expenses to revenues appears to be less of a concern than the timing and amount of revenue recognition.  However, one potential matching problem arises from KRS’ practice of booking revenues prior to having finalized the configuration of the processors.  The case does not provide information regarding the time and/or expenses required to finalize the configuration.  If considerable time and expense are required, then KRS’s recognition policy could significantly violate GAAP rules governing matching.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lowerLetter"/>
      <w:lvlText w:val="%1."/>
      <w:lvlJc w:val="start"/>
      <w:pPr>
        <w:tabs>
          <w:tab w:val="num" w:pos="1440"/>
        </w:tabs>
        <w:ind w:start="1440" w:hanging="360"/>
      </w:pPr>
      <w:rPr/>
    </w:lvl>
  </w:abstractNum>
  <w:abstractNum w:abstractNumId="2">
    <w:lvl w:ilvl="0">
      <w:start w:val="1"/>
      <w:numFmt w:val="decimal"/>
      <w:lvlText w:val="%1."/>
      <w:lvlJc w:val="start"/>
      <w:pPr>
        <w:tabs>
          <w:tab w:val="num" w:pos="1080"/>
        </w:tabs>
        <w:ind w:start="1080" w:hanging="72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 w:start="720" w:end="0"/>
    </w:pPr>
    <w:rPr>
      <w:sz w:val="20"/>
    </w:rPr>
  </w:style>
  <w:style w:type="paragraph" w:styleId="BodyTextIndent2">
    <w:name w:val="Body Text Indent 2"/>
    <w:basedOn w:val="Normal"/>
    <w:qFormat/>
    <w:pPr>
      <w:ind w:hanging="0" w:start="1080" w:end="0"/>
    </w:pPr>
    <w:rPr>
      <w:sz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2000-09-24T15:29:00Z</dcterms:created>
  <dc:creator>jdasovic</dc:creator>
  <dc:description/>
  <dc:language>en-CA</dc:language>
  <cp:lastModifiedBy>jdasovic</cp:lastModifiedBy>
  <dcterms:modified xsi:type="dcterms:W3CDTF">2000-09-24T15:29:00Z</dcterms:modified>
  <cp:revision>2</cp:revision>
  <dc:subject/>
  <dc:title>1</dc:title>
</cp:coreProperties>
</file>