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Overview</w:t>
      </w:r>
    </w:p>
    <w:p>
      <w:pPr>
        <w:pStyle w:val="Normal"/>
        <w:rPr/>
      </w:pPr>
      <w:r>
        <w:rPr/>
      </w:r>
    </w:p>
    <w:p>
      <w:pPr>
        <w:pStyle w:val="Normal"/>
        <w:jc w:val="both"/>
        <w:rPr/>
      </w:pPr>
      <w:r>
        <w:rPr/>
        <w:t>The country is in the middle of an energy crisis.  This inbalance in physical supply and demand has led to a financial crisis.  Summer is looming, and the threat of blackouts and supply shortages is tangible.  The Administration has a unique opportunity to ensure that power in the Western Interconnection and elsewhere gets from where it is to where it is needed.  To meet this goal, the Administration should focus on the following issues:</w:t>
      </w:r>
    </w:p>
    <w:p>
      <w:pPr>
        <w:pStyle w:val="Normal"/>
        <w:jc w:val="both"/>
        <w:rPr/>
      </w:pPr>
      <w:r>
        <w:rPr/>
      </w:r>
    </w:p>
    <w:p>
      <w:pPr>
        <w:pStyle w:val="BodyTextIndent"/>
        <w:ind w:start="0" w:end="0"/>
        <w:jc w:val="both"/>
        <w:rPr/>
      </w:pPr>
      <w:r>
        <w:rPr>
          <w:b/>
          <w:bCs/>
        </w:rPr>
        <w:t>Full Open Access:</w:t>
      </w:r>
      <w:r>
        <w:rPr/>
        <w:t xml:space="preserve">  To achieve robust competition in wholesale power markets,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Agencies, states and municipalities (jointly “Public Power Agencies.”)  This can be accomplished by conditioning the Public Power Agencies’ access to other FERC jurisdictional transmission systems on a requirement that the Public Power Agencies grant all third parties access to their own systems pursuant to the same open access terms and conditions.</w:t>
      </w:r>
    </w:p>
    <w:p>
      <w:pPr>
        <w:pStyle w:val="BodyTextIndent"/>
        <w:ind w:start="360" w:end="0"/>
        <w:jc w:val="both"/>
        <w:rPr/>
      </w:pPr>
      <w:r>
        <w:rPr/>
      </w:r>
    </w:p>
    <w:p>
      <w:pPr>
        <w:pStyle w:val="BodyTextIndent"/>
        <w:ind w:hanging="360" w:start="360" w:end="0"/>
        <w:jc w:val="both"/>
        <w:rPr/>
      </w:pPr>
      <w:r>
        <w:rPr/>
        <w:t>-</w:t>
        <w:tab/>
        <w:t xml:space="preserve">Full open access, including elimination of the native load exception, conservatively estimated will result in a 1-3 percent increase of additional power supply in the Western Interconnection, without building any new generation.  With generation capacity of approximately 135,000 MW, on any given day this could result in an increase of 1,350-4,050 MW for western power consumers (nearly eliminating the expected hydro power supply shortfall due to this year’s water shortages).  This could be the difference between having the lights stay on or go out.  </w:t>
      </w:r>
    </w:p>
    <w:p>
      <w:pPr>
        <w:pStyle w:val="BodyTextIndent"/>
        <w:ind w:start="0" w:end="0"/>
        <w:jc w:val="both"/>
        <w:rPr/>
      </w:pPr>
      <w:r>
        <w:rPr/>
      </w:r>
    </w:p>
    <w:p>
      <w:pPr>
        <w:pStyle w:val="BodyTextIndent"/>
        <w:ind w:hanging="360" w:start="360" w:end="0"/>
        <w:jc w:val="both"/>
        <w:rPr>
          <w:b/>
          <w:bCs/>
        </w:rPr>
      </w:pPr>
      <w:r>
        <w:rPr/>
        <w:t>-</w:t>
        <w:tab/>
        <w:t xml:space="preserve">By way of comparison, it is widely recognized that the benefits of open access in the natural gas industry provide substantial benefits to consumers and all market participants, including increases in pipeline throughput.  In Order No. 636, in 1992, the Bush Administration and FERC successfully completed open access efforts by ensuring equal access to transportation facilities by all third parties.  Between 1987 and 1997, pipeline load factors increased nearly 10 percent, from 68 percent to 77.5 percent.  </w:t>
      </w:r>
    </w:p>
    <w:p>
      <w:pPr>
        <w:pStyle w:val="BodyTextIndent"/>
        <w:ind w:start="360" w:end="0"/>
        <w:jc w:val="both"/>
        <w:rPr>
          <w:b/>
          <w:bCs/>
        </w:rPr>
      </w:pPr>
      <w:r>
        <w:rPr>
          <w:b/>
          <w:bCs/>
        </w:rPr>
      </w:r>
    </w:p>
    <w:p>
      <w:pPr>
        <w:pStyle w:val="Normal"/>
        <w:spacing w:before="0" w:after="120"/>
        <w:jc w:val="both"/>
        <w:rPr/>
      </w:pPr>
      <w:r>
        <w:rPr>
          <w:b/>
          <w:bCs/>
        </w:rPr>
        <w:t xml:space="preserve">California Must Be Prohibited from Balkanizing the Interstate Transmission Grid:  </w:t>
      </w:r>
      <w:r>
        <w:rPr/>
        <w:t>California’s recent attempts to close its borders by restricting exports of power, having the state purchase transmission lines and generation, and establishing a state agency to operate the electric system, will further balkanize the grid.  This will likely drive other states to similarly restrict their imports to California, resulting in even less power being available to California when it needs it most this summer.</w:t>
      </w:r>
    </w:p>
    <w:p>
      <w:pPr>
        <w:pStyle w:val="Normal"/>
        <w:spacing w:before="0" w:after="120"/>
        <w:ind w:hanging="360" w:start="360" w:end="0"/>
        <w:jc w:val="both"/>
        <w:rPr/>
      </w:pPr>
      <w:r>
        <w:rPr/>
        <w:t>-</w:t>
        <w:tab/>
        <w:t>California imports are approximately 20 percent (</w:t>
      </w:r>
      <w:r>
        <w:rPr>
          <w:i/>
          <w:iCs/>
        </w:rPr>
        <w:t xml:space="preserve">i.e., </w:t>
      </w:r>
      <w:r>
        <w:rPr/>
        <w:t xml:space="preserve">8,000-9,000 MW on-peak per day) of the power it typically consumes in a summer.  </w:t>
      </w:r>
    </w:p>
    <w:p>
      <w:pPr>
        <w:pStyle w:val="Normal"/>
        <w:spacing w:before="0" w:after="120"/>
        <w:ind w:hanging="432" w:start="432" w:end="0"/>
        <w:jc w:val="both"/>
        <w:rPr/>
      </w:pPr>
      <w:r>
        <w:rPr/>
        <w:t>-</w:t>
        <w:tab/>
        <w:t>If this amount were reduced by even 10 percent due to retaliation by other states, this would translate to 800-900 MW per day reduction of power supplies to California.</w:t>
      </w:r>
    </w:p>
    <w:p>
      <w:pPr>
        <w:pStyle w:val="Normal"/>
        <w:spacing w:before="0" w:after="120"/>
        <w:jc w:val="both"/>
        <w:rPr>
          <w:b/>
          <w:bCs/>
        </w:rPr>
      </w:pPr>
      <w:r>
        <w:rPr>
          <w:b/>
          <w:bCs/>
        </w:rPr>
      </w:r>
    </w:p>
    <w:p>
      <w:pPr>
        <w:pStyle w:val="Normal"/>
        <w:spacing w:before="0" w:after="120"/>
        <w:jc w:val="both"/>
        <w:rPr/>
      </w:pPr>
      <w:r>
        <w:rPr>
          <w:b/>
          <w:bCs/>
        </w:rPr>
        <w:t xml:space="preserve">Federal Land Should Be Made Available for New Generation:  </w:t>
      </w:r>
      <w:r>
        <w:rPr/>
        <w:t>Federal lands should be made available for the siting of new generation and transmission facilities.  Federal agencies (DOI/BLM/FERC) should have 60 days to identify and make available sites suitable for the construction of new facilities.</w:t>
      </w:r>
    </w:p>
    <w:p>
      <w:pPr>
        <w:pStyle w:val="Normal"/>
        <w:jc w:val="both"/>
        <w:rPr/>
      </w:pPr>
      <w:r>
        <w:rPr/>
      </w:r>
    </w:p>
    <w:p>
      <w:pPr>
        <w:pStyle w:val="Normal"/>
        <w:jc w:val="both"/>
        <w:rPr>
          <w:b/>
          <w:bCs/>
        </w:rPr>
      </w:pPr>
      <w:r>
        <w:rPr>
          <w:b/>
          <w:bCs/>
        </w:rPr>
        <w:t xml:space="preserve">Demand Buydown Proposal:  </w:t>
      </w:r>
      <w:r>
        <w:rPr/>
        <w:t xml:space="preserve">The Federal Government should implement a demand buydown program that would allow consumers to decide when to cut back on power consumption and be paid for their reduced usage.  Large retail customers would be compensated at market prices for reduction of consumption or for shifting load to off-peak hours.  Every megawatt of reduced consumption results in an additional megawatt of power supply for other users.  Rather than rolling blackouts, this type of market-based reduction program will empower the consumer to decide voluntarily if it will reduce its power consumption and be paid for this reduction.  </w:t>
      </w:r>
    </w:p>
    <w:p>
      <w:pPr>
        <w:pStyle w:val="Normal"/>
        <w:ind w:start="360" w:end="0"/>
        <w:jc w:val="both"/>
        <w:rPr>
          <w:b/>
          <w:bCs/>
        </w:rPr>
      </w:pPr>
      <w:r>
        <w:rPr>
          <w:b/>
          <w:bCs/>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2001-04-24T12:25:00Z</dcterms:created>
  <dc:creator>lsulliv</dc:creator>
  <dc:description/>
  <dc:language>en-CA</dc:language>
  <cp:lastModifiedBy>lsulliv</cp:lastModifiedBy>
  <dcterms:modified xsi:type="dcterms:W3CDTF">2001-04-24T12:25:00Z</dcterms:modified>
  <cp:revision>1</cp:revision>
  <dc:subject/>
  <dc:title>Overview</dc:title>
</cp:coreProperties>
</file>