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60"/>
        <w:rPr>
          <w:lang w:val="en-CA" w:eastAsia="en-CA"/>
        </w:rPr>
      </w:pPr>
      <w:r>
        <w:rPr>
          <w:lang w:val="en-CA" w:eastAsia="en-CA"/>
        </w:rPr>
        <w:object w:dxaOrig="4364" w:dyaOrig="16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pt;margin-top:-47.5pt;width:218.25pt;height:81pt;mso-wrap-distance-left:9.05pt;mso-wrap-distance-right:9.05pt;mso-position-horizontal-relative:text;mso-position-vertical-relative:text" filled="f" o:ole="">
            <v:imagedata r:id="rId3" o:title=""/>
            <w10:wrap type="topAndBottom"/>
          </v:shape>
          <o:OLEObject Type="Embed" ProgID="" ShapeID="ole_rId2" DrawAspect="Content" ObjectID="_356526985" r:id="rId2"/>
        </w:object>
      </w:r>
    </w:p>
    <w:tbl>
      <w:tblPr>
        <w:tblW w:w="8748" w:type="dxa"/>
        <w:jc w:val="start"/>
        <w:tblInd w:w="0" w:type="dxa"/>
        <w:tblLayout w:type="fixed"/>
        <w:tblCellMar>
          <w:top w:w="0" w:type="dxa"/>
          <w:start w:w="108" w:type="dxa"/>
          <w:bottom w:w="0" w:type="dxa"/>
          <w:end w:w="108" w:type="dxa"/>
        </w:tblCellMar>
      </w:tblPr>
      <w:tblGrid>
        <w:gridCol w:w="1188"/>
        <w:gridCol w:w="7560"/>
      </w:tblGrid>
      <w:tr>
        <w:trPr/>
        <w:tc>
          <w:tcPr>
            <w:tcW w:w="1188" w:type="dxa"/>
            <w:tcBorders/>
          </w:tcPr>
          <w:p>
            <w:pPr>
              <w:pStyle w:val="Normal"/>
              <w:spacing w:before="60" w:after="60"/>
              <w:rPr>
                <w:rFonts w:ascii="Arial" w:hAnsi="Arial" w:cs="Arial"/>
              </w:rPr>
            </w:pPr>
            <w:r>
              <w:rPr>
                <w:rFonts w:cs="Arial" w:ascii="Arial" w:hAnsi="Arial"/>
                <w:b/>
              </w:rPr>
              <w:t>To:</w:t>
            </w:r>
          </w:p>
        </w:tc>
        <w:tc>
          <w:tcPr>
            <w:tcW w:w="7560" w:type="dxa"/>
            <w:tcBorders/>
          </w:tcPr>
          <w:p>
            <w:pPr>
              <w:pStyle w:val="To"/>
              <w:spacing w:before="60" w:after="60"/>
              <w:rPr>
                <w:rFonts w:ascii="Arial" w:hAnsi="Arial" w:cs="Arial"/>
              </w:rPr>
            </w:pPr>
            <w:bookmarkStart w:id="0" w:name="To"/>
            <w:bookmarkEnd w:id="0"/>
            <w:r>
              <w:rPr>
                <w:rFonts w:cs="Arial" w:ascii="Arial" w:hAnsi="Arial"/>
              </w:rPr>
              <w:t>Ken Lay</w:t>
            </w:r>
          </w:p>
        </w:tc>
      </w:tr>
      <w:tr>
        <w:trPr/>
        <w:tc>
          <w:tcPr>
            <w:tcW w:w="1188" w:type="dxa"/>
            <w:tcBorders/>
          </w:tcPr>
          <w:p>
            <w:pPr>
              <w:pStyle w:val="Normal"/>
              <w:spacing w:before="60" w:after="60"/>
              <w:rPr>
                <w:rFonts w:ascii="Arial" w:hAnsi="Arial" w:cs="Arial"/>
              </w:rPr>
            </w:pPr>
            <w:r>
              <w:rPr>
                <w:rFonts w:cs="Arial" w:ascii="Arial" w:hAnsi="Arial"/>
                <w:b/>
              </w:rPr>
              <w:t>From:</w:t>
            </w:r>
          </w:p>
        </w:tc>
        <w:tc>
          <w:tcPr>
            <w:tcW w:w="7560" w:type="dxa"/>
            <w:tcBorders/>
          </w:tcPr>
          <w:p>
            <w:pPr>
              <w:pStyle w:val="From"/>
              <w:spacing w:before="60" w:after="60"/>
              <w:rPr>
                <w:rFonts w:ascii="Arial" w:hAnsi="Arial" w:cs="Arial"/>
              </w:rPr>
            </w:pPr>
            <w:bookmarkStart w:id="1" w:name="From"/>
            <w:bookmarkEnd w:id="1"/>
            <w:r>
              <w:rPr>
                <w:rFonts w:cs="Arial" w:ascii="Arial" w:hAnsi="Arial"/>
              </w:rPr>
              <w:t>Mike Wood</w:t>
            </w:r>
          </w:p>
        </w:tc>
      </w:tr>
      <w:tr>
        <w:trPr/>
        <w:tc>
          <w:tcPr>
            <w:tcW w:w="1188" w:type="dxa"/>
            <w:tcBorders/>
          </w:tcPr>
          <w:p>
            <w:pPr>
              <w:pStyle w:val="Normal"/>
              <w:spacing w:before="60" w:after="60"/>
              <w:rPr>
                <w:rFonts w:ascii="Arial" w:hAnsi="Arial" w:cs="Arial"/>
                <w:b/>
              </w:rPr>
            </w:pPr>
            <w:r>
              <w:rPr>
                <w:rFonts w:cs="Arial" w:ascii="Arial" w:hAnsi="Arial"/>
                <w:b/>
              </w:rPr>
              <w:t>Cc:</w:t>
            </w:r>
          </w:p>
        </w:tc>
        <w:tc>
          <w:tcPr>
            <w:tcW w:w="7560" w:type="dxa"/>
            <w:tcBorders/>
          </w:tcPr>
          <w:p>
            <w:pPr>
              <w:pStyle w:val="Date"/>
              <w:spacing w:before="60" w:after="60"/>
              <w:rPr>
                <w:rFonts w:ascii="Arial" w:hAnsi="Arial" w:cs="Arial"/>
              </w:rPr>
            </w:pPr>
            <w:r>
              <w:rPr>
                <w:rFonts w:cs="Arial" w:ascii="Arial" w:hAnsi="Arial"/>
              </w:rPr>
              <w:t>John L. Garrison, Amanda Martin</w:t>
            </w:r>
          </w:p>
        </w:tc>
      </w:tr>
      <w:tr>
        <w:trPr/>
        <w:tc>
          <w:tcPr>
            <w:tcW w:w="1188" w:type="dxa"/>
            <w:tcBorders/>
          </w:tcPr>
          <w:p>
            <w:pPr>
              <w:pStyle w:val="Normal"/>
              <w:spacing w:before="60" w:after="60"/>
              <w:rPr>
                <w:rFonts w:ascii="Arial" w:hAnsi="Arial" w:cs="Arial"/>
              </w:rPr>
            </w:pPr>
            <w:r>
              <w:rPr>
                <w:rFonts w:cs="Arial" w:ascii="Arial" w:hAnsi="Arial"/>
                <w:b/>
              </w:rPr>
              <w:t>Date:</w:t>
            </w:r>
          </w:p>
        </w:tc>
        <w:tc>
          <w:tcPr>
            <w:tcW w:w="7560" w:type="dxa"/>
            <w:tcBorders/>
          </w:tcPr>
          <w:p>
            <w:pPr>
              <w:pStyle w:val="Date"/>
              <w:spacing w:before="60" w:after="60"/>
              <w:rPr>
                <w:rFonts w:ascii="Arial" w:hAnsi="Arial" w:cs="Arial"/>
              </w:rPr>
            </w:pPr>
            <w:r>
              <w:rPr>
                <w:rFonts w:cs="Arial" w:ascii="Arial" w:hAnsi="Arial"/>
              </w:rPr>
              <w:fldChar w:fldCharType="begin"/>
            </w:r>
            <w:r>
              <w:rPr>
                <w:rFonts w:cs="Arial" w:ascii="Arial" w:hAnsi="Arial"/>
              </w:rPr>
              <w:instrText xml:space="preserve"> DATE \@"MMMM\ d', 'yyyy" </w:instrText>
            </w:r>
            <w:r>
              <w:rPr>
                <w:rFonts w:cs="Arial" w:ascii="Arial" w:hAnsi="Arial"/>
              </w:rPr>
              <w:fldChar w:fldCharType="separate"/>
            </w:r>
            <w:r>
              <w:rPr>
                <w:rFonts w:cs="Arial" w:ascii="Arial" w:hAnsi="Arial"/>
              </w:rPr>
              <w:t>September 28, 2025</w:t>
            </w:r>
            <w:r>
              <w:rPr>
                <w:rFonts w:cs="Arial" w:ascii="Arial" w:hAnsi="Arial"/>
              </w:rPr>
              <w:fldChar w:fldCharType="end"/>
            </w:r>
          </w:p>
        </w:tc>
      </w:tr>
      <w:tr>
        <w:trPr/>
        <w:tc>
          <w:tcPr>
            <w:tcW w:w="1188" w:type="dxa"/>
            <w:tcBorders>
              <w:bottom w:val="single" w:sz="18" w:space="0" w:color="000000"/>
            </w:tcBorders>
          </w:tcPr>
          <w:p>
            <w:pPr>
              <w:pStyle w:val="Normal"/>
              <w:spacing w:before="60" w:after="60"/>
              <w:rPr>
                <w:rFonts w:ascii="Arial" w:hAnsi="Arial" w:cs="Arial"/>
              </w:rPr>
            </w:pPr>
            <w:r>
              <w:rPr>
                <w:rFonts w:cs="Arial" w:ascii="Arial" w:hAnsi="Arial"/>
                <w:b/>
              </w:rPr>
              <w:t>Subject:</w:t>
            </w:r>
          </w:p>
        </w:tc>
        <w:tc>
          <w:tcPr>
            <w:tcW w:w="7560" w:type="dxa"/>
            <w:tcBorders>
              <w:bottom w:val="single" w:sz="18" w:space="0" w:color="000000"/>
            </w:tcBorders>
          </w:tcPr>
          <w:p>
            <w:pPr>
              <w:pStyle w:val="Subject"/>
              <w:spacing w:before="60" w:after="60"/>
              <w:rPr>
                <w:rFonts w:ascii="Arial" w:hAnsi="Arial" w:cs="Arial"/>
              </w:rPr>
            </w:pPr>
            <w:bookmarkStart w:id="2" w:name="Subject"/>
            <w:bookmarkEnd w:id="2"/>
            <w:r>
              <w:rPr>
                <w:rFonts w:cs="Arial" w:ascii="Arial" w:hAnsi="Arial"/>
              </w:rPr>
              <w:t>Azurix/City of Houston Project</w:t>
            </w:r>
          </w:p>
        </w:tc>
      </w:tr>
    </w:tbl>
    <w:p>
      <w:pPr>
        <w:pStyle w:val="Heading1"/>
        <w:ind w:hanging="0" w:start="0"/>
        <w:jc w:val="center"/>
        <w:rPr/>
      </w:pPr>
      <w:bookmarkStart w:id="3" w:name="StartOfMemo"/>
      <w:bookmarkEnd w:id="3"/>
      <w:r>
        <w:rPr/>
        <w:t>CONFIDENTIAL</w:t>
      </w:r>
    </w:p>
    <w:p>
      <w:pPr>
        <w:pStyle w:val="BodyText"/>
        <w:rPr>
          <w:rFonts w:eastAsia="Arial Unicode MS"/>
        </w:rPr>
      </w:pPr>
      <w:r>
        <w:rPr>
          <w:rFonts w:eastAsia="Arial Unicode MS"/>
        </w:rPr>
      </w:r>
    </w:p>
    <w:p>
      <w:pPr>
        <w:pStyle w:val="Normal"/>
        <w:overflowPunct w:val="false"/>
        <w:autoSpaceDE w:val="false"/>
        <w:rPr/>
      </w:pPr>
      <w:r>
        <w:rPr/>
        <w:t> </w:t>
      </w:r>
      <w:r>
        <w:rPr>
          <w:rFonts w:cs="Arial" w:ascii="Arial" w:hAnsi="Arial"/>
        </w:rPr>
        <w:t>The City of Houston's Northeast Water Purification Plant (“NEWPP”)project is proceeding under the direction of the Houston Area Water Corporation ("HAWC").  Given your personal involvement and interest in this project, I want to brief you on the following recent developments:</w:t>
      </w:r>
    </w:p>
    <w:p>
      <w:pPr>
        <w:pStyle w:val="Normal"/>
        <w:overflowPunct w:val="false"/>
        <w:autoSpaceDE w:val="false"/>
        <w:jc w:val="both"/>
        <w:rPr/>
      </w:pPr>
      <w:r>
        <w:rPr/>
        <w:t> </w:t>
      </w:r>
    </w:p>
    <w:p>
      <w:pPr>
        <w:pStyle w:val="Normal"/>
        <w:numPr>
          <w:ilvl w:val="0"/>
          <w:numId w:val="2"/>
        </w:numPr>
        <w:overflowPunct w:val="false"/>
        <w:autoSpaceDE w:val="false"/>
        <w:spacing w:before="100" w:after="100"/>
        <w:jc w:val="both"/>
        <w:rPr/>
      </w:pPr>
      <w:r>
        <w:rPr>
          <w:rStyle w:val="Strong"/>
          <w:rFonts w:cs="Arial" w:ascii="Arial" w:hAnsi="Arial"/>
        </w:rPr>
        <w:t>Project defined by Public Works:</w:t>
      </w:r>
      <w:r>
        <w:rPr>
          <w:rFonts w:cs="Arial" w:ascii="Arial" w:hAnsi="Arial"/>
        </w:rPr>
        <w:t xml:space="preserve">  CH2MHill, in its role as consultant to the City and the HAWC, have prepared an 800-page Project Definition Document ("PDD").  Although the document has not yet been made public, Public Works made a presentation to the HAWC at a recent Board meeting in which they outlined the project scope, selection process, and proposed terms and conditions contained in the PDD.  We have two concerns that are the focus of our current lobbying efforts: </w:t>
      </w:r>
    </w:p>
    <w:p>
      <w:pPr>
        <w:pStyle w:val="Normal"/>
        <w:overflowPunct w:val="false"/>
        <w:autoSpaceDE w:val="false"/>
        <w:spacing w:before="100" w:after="100"/>
        <w:ind w:start="2160" w:end="0"/>
        <w:jc w:val="both"/>
        <w:rPr/>
      </w:pPr>
      <w:r>
        <w:rPr>
          <w:rFonts w:cs="Arial" w:ascii="Arial" w:hAnsi="Arial"/>
        </w:rPr>
        <w:t xml:space="preserve">1) </w:t>
      </w:r>
      <w:r>
        <w:rPr>
          <w:rStyle w:val="Emphasis"/>
          <w:rFonts w:cs="Arial" w:ascii="Arial" w:hAnsi="Arial"/>
          <w:b/>
          <w:bCs/>
        </w:rPr>
        <w:t xml:space="preserve">The recommended selection criteria </w:t>
      </w:r>
      <w:r>
        <w:rPr>
          <w:rFonts w:cs="Arial" w:ascii="Arial" w:hAnsi="Arial"/>
        </w:rPr>
        <w:t>includes price as a consideration.  Our concern is that price will become the sole focus, allowing US Filter to deliver on their threat to do whatever it takes to win the project.  We believe a qualifications-based selection process, followed by price negotiation would better serve the public; and,</w:t>
      </w:r>
    </w:p>
    <w:p>
      <w:pPr>
        <w:pStyle w:val="Normal"/>
        <w:overflowPunct w:val="false"/>
        <w:autoSpaceDE w:val="false"/>
        <w:spacing w:before="100" w:after="100"/>
        <w:ind w:start="2160" w:end="0"/>
        <w:jc w:val="both"/>
        <w:rPr>
          <w:rStyle w:val="Strong"/>
          <w:b w:val="false"/>
          <w:bCs w:val="false"/>
        </w:rPr>
      </w:pPr>
      <w:r>
        <w:rPr>
          <w:rFonts w:cs="Arial" w:ascii="Arial" w:hAnsi="Arial"/>
        </w:rPr>
        <w:t xml:space="preserve">2) </w:t>
      </w:r>
      <w:r>
        <w:rPr>
          <w:rStyle w:val="Emphasis"/>
          <w:rFonts w:cs="Arial" w:ascii="Arial" w:hAnsi="Arial"/>
          <w:b/>
          <w:bCs/>
        </w:rPr>
        <w:t xml:space="preserve">The proposed plant capacity </w:t>
      </w:r>
      <w:r>
        <w:rPr>
          <w:rFonts w:cs="Arial" w:ascii="Arial" w:hAnsi="Arial"/>
        </w:rPr>
        <w:t xml:space="preserve">is 40 mgd with a "firm option" for an additional 40 mgd.  (It is not at all clear what terms and conditions will apply to the option.)  We believe simply establishing the capacity at 80-100 mgd, as we proposed in our submittal last May, is fully justified and in line with the intended goal of addressing regional water needs. </w:t>
      </w:r>
    </w:p>
    <w:p>
      <w:pPr>
        <w:pStyle w:val="Normal"/>
        <w:numPr>
          <w:ilvl w:val="0"/>
          <w:numId w:val="2"/>
        </w:numPr>
        <w:overflowPunct w:val="false"/>
        <w:autoSpaceDE w:val="false"/>
        <w:spacing w:before="100" w:after="100"/>
        <w:jc w:val="both"/>
        <w:rPr/>
      </w:pPr>
      <w:r>
        <w:rPr>
          <w:rStyle w:val="Strong"/>
          <w:rFonts w:cs="Arial" w:ascii="Arial" w:hAnsi="Arial"/>
        </w:rPr>
        <w:t xml:space="preserve">Azurix presentation well received by the HAWC Board:  </w:t>
      </w:r>
      <w:r>
        <w:rPr>
          <w:rFonts w:cs="Arial" w:ascii="Arial" w:hAnsi="Arial"/>
        </w:rPr>
        <w:t xml:space="preserve">At last Friday's meeting, the Azurix-CDM team and each of three other vendors made 20-minute presentations to the Board.  At the request of the Board, the focus of the presentation was our vision of a regional water system and what approach to the NEWPP best fits that vision.  A major theme of our story was the need for an initial plant capacity of 80-100 mgd in order to serve the near-term demand of MUDs located just north of the city limits.  Questions from the Board, particularly Chairman David Berg, suggest they are not inclined to increase the capacity without definitive assurance that doing so is a risk-free proposition for the City and the HAWC.  We emphasized our intent to structure the transaction to accomplish that, but doing so prior to contract award is not feasible.  We will continue to drive that point over the next week, but the 40 mgd "excess capacity" will likely remain in the form of an option in the final PDD.  Informal feedback from Public Works indicates the Azurix presentation was by far the most substantive and informative of the four and was well received by the Board.  </w:t>
      </w:r>
    </w:p>
    <w:p>
      <w:pPr>
        <w:pStyle w:val="Normal"/>
        <w:tabs>
          <w:tab w:val="clear" w:pos="720"/>
          <w:tab w:val="left" w:pos="1530" w:leader="none"/>
        </w:tabs>
        <w:overflowPunct w:val="false"/>
        <w:autoSpaceDE w:val="false"/>
        <w:spacing w:before="100" w:after="100"/>
        <w:ind w:start="840" w:end="0"/>
        <w:jc w:val="both"/>
        <w:rPr>
          <w:rFonts w:ascii="Arial" w:hAnsi="Arial" w:cs="Arial"/>
        </w:rPr>
      </w:pPr>
      <w:r>
        <w:rPr>
          <w:rFonts w:cs="Arial" w:ascii="Arial" w:hAnsi="Arial"/>
        </w:rPr>
      </w:r>
    </w:p>
    <w:p>
      <w:pPr>
        <w:pStyle w:val="Normal"/>
        <w:tabs>
          <w:tab w:val="clear" w:pos="720"/>
          <w:tab w:val="left" w:pos="1530" w:leader="none"/>
        </w:tabs>
        <w:overflowPunct w:val="false"/>
        <w:autoSpaceDE w:val="false"/>
        <w:spacing w:before="100" w:after="100"/>
        <w:ind w:start="840" w:end="0"/>
        <w:jc w:val="both"/>
        <w:rPr>
          <w:rFonts w:ascii="Arial" w:hAnsi="Arial" w:cs="Arial"/>
        </w:rPr>
      </w:pPr>
      <w:r>
        <w:rPr>
          <w:rFonts w:cs="Arial" w:ascii="Arial" w:hAnsi="Arial"/>
        </w:rPr>
      </w:r>
    </w:p>
    <w:p>
      <w:pPr>
        <w:pStyle w:val="Normal"/>
        <w:tabs>
          <w:tab w:val="clear" w:pos="720"/>
          <w:tab w:val="left" w:pos="1530" w:leader="none"/>
        </w:tabs>
        <w:overflowPunct w:val="false"/>
        <w:autoSpaceDE w:val="false"/>
        <w:spacing w:before="100" w:after="100"/>
        <w:ind w:start="840" w:end="0"/>
        <w:jc w:val="both"/>
        <w:rPr>
          <w:rFonts w:ascii="Arial" w:hAnsi="Arial" w:cs="Arial"/>
        </w:rPr>
      </w:pPr>
      <w:r>
        <w:rPr>
          <w:rFonts w:cs="Arial" w:ascii="Arial" w:hAnsi="Arial"/>
        </w:rPr>
      </w:r>
    </w:p>
    <w:p>
      <w:pPr>
        <w:pStyle w:val="Normal"/>
        <w:tabs>
          <w:tab w:val="clear" w:pos="720"/>
          <w:tab w:val="left" w:pos="1530" w:leader="none"/>
        </w:tabs>
        <w:overflowPunct w:val="false"/>
        <w:autoSpaceDE w:val="false"/>
        <w:spacing w:before="100" w:after="100"/>
        <w:ind w:start="840" w:end="0"/>
        <w:jc w:val="both"/>
        <w:rPr>
          <w:rFonts w:ascii="Arial" w:hAnsi="Arial" w:cs="Arial"/>
        </w:rPr>
      </w:pPr>
      <w:r>
        <w:rPr>
          <w:rFonts w:cs="Arial" w:ascii="Arial" w:hAnsi="Arial"/>
        </w:rPr>
      </w:r>
    </w:p>
    <w:p>
      <w:pPr>
        <w:pStyle w:val="Normal"/>
        <w:tabs>
          <w:tab w:val="clear" w:pos="720"/>
          <w:tab w:val="left" w:pos="1530" w:leader="none"/>
        </w:tabs>
        <w:overflowPunct w:val="false"/>
        <w:autoSpaceDE w:val="false"/>
        <w:spacing w:before="100" w:after="100"/>
        <w:ind w:start="840" w:end="0"/>
        <w:jc w:val="both"/>
        <w:rPr>
          <w:rFonts w:ascii="Arial" w:hAnsi="Arial" w:cs="Arial"/>
        </w:rPr>
      </w:pPr>
      <w:r>
        <w:rPr>
          <w:rFonts w:cs="Arial" w:ascii="Arial" w:hAnsi="Arial"/>
        </w:rPr>
      </w:r>
    </w:p>
    <w:p>
      <w:pPr>
        <w:pStyle w:val="Normal"/>
        <w:numPr>
          <w:ilvl w:val="0"/>
          <w:numId w:val="2"/>
        </w:numPr>
        <w:tabs>
          <w:tab w:val="clear" w:pos="720"/>
          <w:tab w:val="left" w:pos="1530" w:leader="none"/>
        </w:tabs>
        <w:overflowPunct w:val="false"/>
        <w:autoSpaceDE w:val="false"/>
        <w:spacing w:before="100" w:after="100"/>
        <w:jc w:val="both"/>
        <w:rPr>
          <w:rFonts w:ascii="Arial" w:hAnsi="Arial" w:cs="Arial"/>
        </w:rPr>
      </w:pPr>
      <w:r>
        <w:rPr>
          <w:rFonts w:cs="Arial" w:ascii="Arial" w:hAnsi="Arial"/>
          <w:b/>
          <w:bCs/>
        </w:rPr>
        <w:t xml:space="preserve">Azurix-CDM short-listed:  </w:t>
      </w:r>
      <w:r>
        <w:rPr>
          <w:rFonts w:cs="Arial" w:ascii="Arial" w:hAnsi="Arial"/>
        </w:rPr>
        <w:t xml:space="preserve">Also at last week's meeting, the Board unanimously approved the previously announced recommendation of Public Works to short-list three competing teams:  </w:t>
      </w:r>
      <w:r>
        <w:rPr>
          <w:rFonts w:cs="Arial" w:ascii="Arial" w:hAnsi="Arial"/>
          <w:b/>
          <w:bCs/>
        </w:rPr>
        <w:t>Azurix-CDM, US Filter, and Montgomery-Watson</w:t>
      </w:r>
      <w:r>
        <w:rPr>
          <w:rFonts w:cs="Arial" w:ascii="Arial" w:hAnsi="Arial"/>
        </w:rPr>
        <w:t xml:space="preserve">.  We still believe US Filter is our most formidable competitor.  In recent weeks, the US Filter team has approached us via Dannenbaum Engineering and made veiled overtures to combining forces. This coincides with conversations, I understand you may have had with Jim Royers.  The ball was left in Jim Dannenbaum’s court last Monday and we have not heard anything since.   While we do not see US Filter adding value to our proposal, especially with the project being downsized, we certainly have not rejected the idea outright. </w:t>
      </w:r>
    </w:p>
    <w:p>
      <w:pPr>
        <w:pStyle w:val="Normal"/>
        <w:numPr>
          <w:ilvl w:val="0"/>
          <w:numId w:val="2"/>
        </w:numPr>
        <w:overflowPunct w:val="false"/>
        <w:autoSpaceDE w:val="false"/>
        <w:spacing w:before="100" w:after="100"/>
        <w:jc w:val="both"/>
        <w:rPr>
          <w:sz w:val="24"/>
          <w:szCs w:val="24"/>
        </w:rPr>
      </w:pPr>
      <w:r>
        <w:rPr>
          <w:rFonts w:cs="Arial" w:ascii="Arial" w:hAnsi="Arial"/>
          <w:b/>
          <w:bCs/>
        </w:rPr>
        <w:t xml:space="preserve">Process defined:  </w:t>
      </w:r>
      <w:r>
        <w:rPr>
          <w:rFonts w:cs="Arial" w:ascii="Arial" w:hAnsi="Arial"/>
        </w:rPr>
        <w:t>The HAWC Board approved the PDD for release to short-listed vendors, subject to any changes the Board may choose to make.  Public Works advises us they expect to finalize and release the PDD to short-listed vendors the week of October 23rd.  We will then have approximately six weeks to prepare a definitive proposal.  The planned timetable still calls for the HAWC to award the project by year-end.</w:t>
      </w:r>
    </w:p>
    <w:p>
      <w:pPr>
        <w:pStyle w:val="Normal"/>
        <w:overflowPunct w:val="false"/>
        <w:autoSpaceDE w:val="false"/>
        <w:jc w:val="both"/>
        <w:rPr/>
      </w:pPr>
      <w:r>
        <w:rPr/>
        <w:t> </w:t>
      </w:r>
    </w:p>
    <w:p>
      <w:pPr>
        <w:pStyle w:val="Normal"/>
        <w:overflowPunct w:val="false"/>
        <w:autoSpaceDE w:val="false"/>
        <w:jc w:val="both"/>
        <w:rPr>
          <w:rFonts w:ascii="Arial" w:hAnsi="Arial" w:cs="Arial"/>
        </w:rPr>
      </w:pPr>
      <w:r>
        <w:rPr>
          <w:rFonts w:cs="Arial" w:ascii="Arial" w:hAnsi="Arial"/>
        </w:rPr>
        <w:t>Obviously, a great deal of work still lies ahead.  Nevertheless, I am encouraged by the events of the past several weeks and believe Azurix is well positioned at this point.  I will keep you apprised of developments as the process unfolds.  In the meantime, please call me at extension 5-5121 should you have any questions or comments.</w:t>
      </w:r>
    </w:p>
    <w:p>
      <w:pPr>
        <w:pStyle w:val="Normal"/>
        <w:overflowPunct w:val="false"/>
        <w:autoSpaceDE w:val="false"/>
        <w:jc w:val="both"/>
        <w:rPr/>
      </w:pPr>
      <w:r>
        <w:rPr/>
        <w:t> </w:t>
      </w:r>
    </w:p>
    <w:p>
      <w:pPr>
        <w:pStyle w:val="Normal"/>
        <w:spacing w:before="60" w:after="60"/>
        <w:rPr>
          <w:rFonts w:ascii="Arial" w:hAnsi="Arial" w:cs="Arial"/>
        </w:rPr>
      </w:pPr>
      <w:r>
        <w:rPr>
          <w:rFonts w:cs="Arial" w:ascii="Arial" w:hAnsi="Arial"/>
        </w:rPr>
      </w:r>
    </w:p>
    <w:sectPr>
      <w:headerReference w:type="default" r:id="rId4"/>
      <w:headerReference w:type="first" r:id="rId5"/>
      <w:type w:val="nextPage"/>
      <w:pgSz w:w="12240" w:h="15840"/>
      <w:pgMar w:left="1440" w:right="1440" w:gutter="0" w:header="720" w:top="1080" w:footer="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numPr>
        <w:ilvl w:val="0"/>
        <w:numId w:val="1"/>
      </w:numPr>
      <w:spacing w:before="180" w:after="0"/>
      <w:outlineLvl w:val="0"/>
    </w:pPr>
    <w:rPr>
      <w:b/>
      <w:sz w:val="24"/>
    </w:rPr>
  </w:style>
  <w:style w:type="paragraph" w:styleId="Heading2">
    <w:name w:val="heading 2"/>
    <w:basedOn w:val="Heading1"/>
    <w:next w:val="Normal"/>
    <w:qFormat/>
    <w:pPr>
      <w:numPr>
        <w:ilvl w:val="1"/>
        <w:numId w:val="1"/>
      </w:numPr>
      <w:spacing w:before="120" w:after="0"/>
      <w:outlineLvl w:val="1"/>
    </w:pPr>
    <w:rPr>
      <w:sz w:val="22"/>
    </w:rPr>
  </w:style>
  <w:style w:type="paragraph" w:styleId="Heading3">
    <w:name w:val="heading 3"/>
    <w:basedOn w:val="Heading2"/>
    <w:next w:val="Normal"/>
    <w:qFormat/>
    <w:pPr>
      <w:numPr>
        <w:ilvl w:val="2"/>
        <w:numId w:val="1"/>
      </w:numPr>
      <w:outlineLvl w:val="2"/>
    </w:pPr>
    <w:rPr>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Strong">
    <w:name w:val="Strong"/>
    <w:basedOn w:val="DefaultParagraphFont"/>
    <w:qFormat/>
    <w:rPr>
      <w:b/>
      <w:bCs/>
    </w:rPr>
  </w:style>
  <w:style w:type="character" w:styleId="Emphasis">
    <w:name w:val="Emphasis"/>
    <w:basedOn w:val="DefaultParagraphFont"/>
    <w:qFormat/>
    <w:rPr>
      <w:i/>
      <w:iCs/>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spacing w:lineRule="atLeast" w:line="220" w:before="0" w:after="220"/>
      <w:ind w:hanging="0" w:start="840" w:end="-360"/>
    </w:pPr>
    <w:rPr/>
  </w:style>
  <w:style w:type="paragraph" w:styleId="List">
    <w:name w:val="List"/>
    <w:basedOn w:val="Normal"/>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720"/>
        <w:tab w:val="left" w:pos="504" w:leader="none"/>
      </w:tabs>
      <w:spacing w:before="360" w:after="0"/>
      <w:ind w:hanging="504" w:start="504"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Azurix memo Color.dot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2000-10-18T12:51:00Z</dcterms:created>
  <dc:creator>christine farell</dc:creator>
  <dc:description/>
  <dc:language>en-CA</dc:language>
  <cp:lastModifiedBy>sferrington</cp:lastModifiedBy>
  <cp:lastPrinted>2000-10-18T10:26:00Z</cp:lastPrinted>
  <dcterms:modified xsi:type="dcterms:W3CDTF">2000-10-18T12:57:00Z</dcterms:modified>
  <cp:revision>4</cp:revision>
  <dc:subject/>
  <dc:title>Enron International Memo</dc:title>
</cp:coreProperties>
</file>