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240" w:after="0"/>
        <w:rPr>
          <w:b/>
          <w:u w:val="single"/>
        </w:rPr>
      </w:pPr>
      <w:r>
        <w:rPr>
          <w:b/>
          <w:u w:val="single"/>
        </w:rPr>
        <w:t>LIMITED RELEASE</w:t>
      </w:r>
    </w:p>
    <w:p>
      <w:pPr>
        <w:pStyle w:val="BodyText"/>
        <w:jc w:val="both"/>
        <w:rPr/>
      </w:pPr>
      <w:r>
        <w:rPr/>
        <w:t>This Limited Release (this "</w:t>
      </w:r>
      <w:r>
        <w:rPr>
          <w:u w:val="single"/>
        </w:rPr>
        <w:t>Release</w:t>
      </w:r>
      <w:r>
        <w:rPr/>
        <w:t>"), dated as of ________________________ (the "</w:t>
      </w:r>
      <w:r>
        <w:rPr>
          <w:u w:val="single"/>
        </w:rPr>
        <w:t>Effective Date</w:t>
      </w:r>
      <w:r>
        <w:rPr/>
        <w:t>"), is hereby executed by and among ____________________________ ________________________________________ (together, "</w:t>
      </w:r>
      <w:r>
        <w:rPr>
          <w:u w:val="single"/>
        </w:rPr>
        <w:t>Kemper</w:t>
      </w:r>
      <w:r>
        <w:rPr/>
        <w:t>"), Enron North America Corp. f/k/a ENRON CAPITAL &amp; TRADE RESOURCES, CORP., a Delaware corporation ("</w:t>
      </w:r>
      <w:r>
        <w:rPr>
          <w:u w:val="single"/>
        </w:rPr>
        <w:t>Enron</w:t>
      </w:r>
      <w:r>
        <w:rPr/>
        <w:t>"), ECT SECURITIES LIMITED PARTNERSHIP, a Delaware limited partnership, as successor by merger to ECT Securities Corp., a Delaware corporation ("</w:t>
      </w:r>
      <w:r>
        <w:rPr>
          <w:u w:val="single"/>
        </w:rPr>
        <w:t>ECT Securities</w:t>
      </w:r>
      <w:r>
        <w:rPr/>
        <w:t>"), and ECT THAILAND INVESTMENTS, INC., a Delaware corporation (“</w:t>
      </w:r>
      <w:r>
        <w:rPr>
          <w:u w:val="single"/>
        </w:rPr>
        <w:t>ECT Thailand</w:t>
      </w:r>
      <w:r>
        <w:rPr/>
        <w:t>”) (each a "</w:t>
      </w:r>
      <w:r>
        <w:rPr>
          <w:u w:val="single"/>
        </w:rPr>
        <w:t>Party</w:t>
      </w:r>
      <w:r>
        <w:rPr/>
        <w:t xml:space="preserve"> and together, the "</w:t>
      </w:r>
      <w:r>
        <w:rPr>
          <w:u w:val="single"/>
        </w:rPr>
        <w:t>Parties</w:t>
      </w:r>
      <w:r>
        <w:rPr/>
        <w:t>").</w:t>
      </w:r>
    </w:p>
    <w:p>
      <w:pPr>
        <w:pStyle w:val="Centered"/>
        <w:rPr/>
      </w:pPr>
      <w:r>
        <w:rPr/>
        <w:t>R E C I T A L S :</w:t>
      </w:r>
    </w:p>
    <w:p>
      <w:pPr>
        <w:pStyle w:val="BodyText"/>
        <w:numPr>
          <w:ilvl w:val="0"/>
          <w:numId w:val="2"/>
        </w:numPr>
        <w:tabs>
          <w:tab w:val="clear" w:pos="720"/>
        </w:tabs>
        <w:ind w:firstLine="1440" w:start="0" w:end="0"/>
        <w:jc w:val="both"/>
        <w:rPr/>
      </w:pPr>
      <w:r>
        <w:rPr/>
        <w:t>Kemper purchased in March of 1998: (i) $_____________, in principal amount of those certain 12% Senior Mortgage Notes Due 2006 (the "</w:t>
      </w:r>
      <w:r>
        <w:rPr>
          <w:u w:val="single"/>
        </w:rPr>
        <w:t>Senior Notes</w:t>
      </w:r>
      <w:r>
        <w:rPr/>
        <w:t>") issued by the Issuers pursuant to that certain Indenture dated as of March 1, 1998 among the Issuers, NSM and Chase; and (ii) $______________ in principal amount of the Senior Subordinated Notes (all of which notes, together with any additional Senior Notes or Senior Subordinated Notes or other indebtedness of or equity in NSM purchased or acquired by Kemper or any of its Affiliates (either individually or jointly with any other purchaser(s) or acquirer(s)), collectively, the "</w:t>
      </w:r>
      <w:r>
        <w:rPr>
          <w:u w:val="single"/>
        </w:rPr>
        <w:t>Kemper</w:t>
      </w:r>
      <w:r>
        <w:rPr/>
        <w:t xml:space="preserve"> </w:t>
      </w:r>
      <w:r>
        <w:rPr>
          <w:u w:val="single"/>
        </w:rPr>
        <w:t>Notes</w:t>
      </w:r>
      <w:r>
        <w:rPr/>
        <w:t>").</w:t>
      </w:r>
    </w:p>
    <w:p>
      <w:pPr>
        <w:pStyle w:val="BodyText"/>
        <w:numPr>
          <w:ilvl w:val="0"/>
          <w:numId w:val="2"/>
        </w:numPr>
        <w:tabs>
          <w:tab w:val="clear" w:pos="720"/>
        </w:tabs>
        <w:ind w:firstLine="1440" w:start="0" w:end="0"/>
        <w:rPr/>
      </w:pPr>
      <w:r>
        <w:rPr/>
        <w:t>ECT Securities, an affiliate of Enron, served as one of the underwriters for the issuance of the Senior Notes and the Senior Subordinated Notes by the Issuers.</w:t>
      </w:r>
    </w:p>
    <w:p>
      <w:pPr>
        <w:pStyle w:val="BodyText"/>
        <w:ind w:hanging="0" w:end="0"/>
        <w:jc w:val="both"/>
        <w:rPr/>
      </w:pPr>
      <w:r>
        <w:rPr/>
        <w:t>NOW, THEREFORE, in consideration of the premises and for other good and valuable consideration, the receipt and sufficiency of which are hereby acknowledged, the Parties hereto hereby agree as follows:</w:t>
      </w:r>
    </w:p>
    <w:p>
      <w:pPr>
        <w:pStyle w:val="BodyText"/>
        <w:ind w:hanging="0" w:end="0"/>
        <w:jc w:val="center"/>
        <w:rPr/>
      </w:pPr>
      <w:r>
        <w:rPr/>
        <w:t>ARTICLE I</w:t>
      </w:r>
    </w:p>
    <w:p>
      <w:pPr>
        <w:pStyle w:val="BodyText"/>
        <w:jc w:val="center"/>
        <w:rPr/>
      </w:pPr>
      <w:r>
        <w:rPr/>
        <w:t>LIMITED RELEASE AND DISCHARGE</w:t>
      </w:r>
    </w:p>
    <w:p>
      <w:pPr>
        <w:pStyle w:val="MAMergerL2"/>
        <w:numPr>
          <w:ilvl w:val="1"/>
          <w:numId w:val="3"/>
        </w:numPr>
        <w:ind w:hanging="0" w:start="0"/>
        <w:jc w:val="both"/>
        <w:rPr/>
      </w:pPr>
      <w:r>
        <w:rPr/>
        <w:t>Limited Release and Discharge.</w:t>
      </w:r>
    </w:p>
    <w:p>
      <w:pPr>
        <w:pStyle w:val="MAMergerL2"/>
        <w:numPr>
          <w:ilvl w:val="0"/>
          <w:numId w:val="0"/>
        </w:numPr>
        <w:ind w:firstLine="1440" w:start="0" w:end="0"/>
        <w:jc w:val="both"/>
        <w:rPr/>
      </w:pPr>
      <w:r>
        <w:rPr>
          <w:u w:val="none"/>
        </w:rPr>
        <w:t>(a)</w:t>
        <w:tab/>
        <w:t>To the fullest extent permitted by applicable law, Kemper (and, to the fullest extent permitted by law, on behalf of its current and former employees, officers, directors, agents, investment bankers, insurance carriers, affiliates, successors, predecessors, assigns, shareholders, partners, investors, members, representatives, accountants and attorneys) hereby agrees to settle and forever release and discharge Enron, ECT Securities, ECT Thailand and all of their respective current and former Affiliates and all of their respective current and former employees, officers, directors, agents, investment bankers, insurance carriers, successors, predecessors, assigns, shareholders, partners, investors, members, representatives, accountants and attorneys, as the case may be (collectively, the "</w:t>
      </w:r>
      <w:r>
        <w:rPr/>
        <w:t>Released Parties</w:t>
      </w:r>
      <w:r>
        <w:rPr>
          <w:u w:val="none"/>
        </w:rPr>
        <w:t>"), from any and all past, present or future claims, demands, liabilities, obligations, causes of action, suits, debts, damages, judgments, decrees or controversies (the foregoing being referred to collectively herein as "</w:t>
      </w:r>
      <w:r>
        <w:rPr/>
        <w:t>Claims</w:t>
      </w:r>
      <w:r>
        <w:rPr>
          <w:u w:val="none"/>
        </w:rPr>
        <w:t>", and each being referred to individually herein as a "</w:t>
      </w:r>
      <w:r>
        <w:rPr/>
        <w:t>Claim</w:t>
      </w:r>
      <w:r>
        <w:rPr>
          <w:u w:val="none"/>
        </w:rPr>
        <w:t>") of any kind or nature whatsoever, whether held individually or derivatively on behalf of NSM or the Issuers, on any theory of any kind or character whatsoever, that, as to each of the foregoing Claims, Kemper or any of its Affiliates, had, now has or may have in the future that is based on, arises out of or is related in any way to any event, occurrence, omission, representation, misrepresentation or act that occurs or has occurred, takes place or has taken place, fails to occur or has failed to occur with respect to, in connection with, or in any way pertaining to: (i) the issuance of any Senior Notes, Senior Subordinated Notes, Junior Subordinated Notes, Warrants, Shares or any other indebtedness of or equity in NSM; (ii) the Kemper Notes; (iii) the initial purchase and subsequent sale of certain of the Senior Notes and the Senior Subordinated Notes by ECT Securities or the underwriting of any of the Senior Notes or the Senior Subordinated Notes by ECT Securities; (iv) the position of Kevin McConville, an employee of Enron, or any other employee of Enron, as a director of NSM and/or NSM Management Company, LLC, a Delaware limited liability company ("</w:t>
      </w:r>
      <w:r>
        <w:rPr/>
        <w:t>NSM Management</w:t>
      </w:r>
      <w:r>
        <w:rPr>
          <w:u w:val="none"/>
        </w:rPr>
        <w:t>"); (v) NSM; (vi) the Issuers; (vii) NSM Management; or (viii) any of their respective Affiliates or subsidiaries (collectively, the "</w:t>
      </w:r>
      <w:r>
        <w:rPr/>
        <w:t>NSM Events and Parties</w:t>
      </w:r>
      <w:r>
        <w:rPr>
          <w:u w:val="none"/>
        </w:rPr>
        <w:t>").  Notwithstanding the foregoing, it is expressly covenanted and agreed that Released Parties shall not include any of the defendants named in the Kemper Lawsuit (as defined below) as of the date hereof or any of their respective Affiliates or current and former employees, officers, directors, successors or predecessors.</w:t>
      </w:r>
    </w:p>
    <w:p>
      <w:pPr>
        <w:pStyle w:val="Normal"/>
        <w:jc w:val="both"/>
        <w:rPr/>
      </w:pPr>
      <w:r>
        <w:rPr/>
      </w:r>
    </w:p>
    <w:p>
      <w:pPr>
        <w:pStyle w:val="Normal"/>
        <w:ind w:firstLine="1440" w:end="0"/>
        <w:jc w:val="both"/>
        <w:rPr/>
      </w:pPr>
      <w:r>
        <w:rPr/>
        <w:t>(b)</w:t>
        <w:tab/>
        <w:t xml:space="preserve">To the fullest extent permitted by applicable law, and subject to the terms and conditions set forth in this Release, Kemper hereby warrants, agrees and covenants not to sue, either individually or derivatively on behalf of NSM, the Issuers or NSM Management, the Released Parties or any of their Affiliates, or the respective representatives thereof, upon any Claim intended to be released pursuant to </w:t>
      </w:r>
      <w:r>
        <w:rPr>
          <w:u w:val="single"/>
        </w:rPr>
        <w:t>Section 1.01(a)</w:t>
      </w:r>
      <w:r>
        <w:rPr/>
        <w:t xml:space="preserve"> hereof, based upon or arising out of acts, actions, failures to act and/or omissions, of any kind or character whatsoever, whether matured or contingent or known or unknown, including, without limitation, for indemnity and contribution, and any Claim based upon the Securities Act of 1933, as amended, the Trust Indenture Act of 1939, as amended, or any "Blue Sky" or other applicable federal or state law or law of any other country or jurisdiction bearing on the issuance, underwriting or holding of securities.</w:t>
      </w:r>
    </w:p>
    <w:p>
      <w:pPr>
        <w:pStyle w:val="MAMergerL3"/>
        <w:numPr>
          <w:ilvl w:val="0"/>
          <w:numId w:val="0"/>
        </w:numPr>
        <w:ind w:firstLine="1440" w:start="0" w:end="0"/>
        <w:jc w:val="both"/>
        <w:rPr/>
      </w:pPr>
      <w:r>
        <w:rPr>
          <w:u w:val="none"/>
        </w:rPr>
        <w:t>(c)</w:t>
        <w:tab/>
        <w:t xml:space="preserve">It is the intent of the Parties to give the releases and discharges set forth in this </w:t>
      </w:r>
      <w:r>
        <w:rPr/>
        <w:t>Section 1.01</w:t>
      </w:r>
      <w:r>
        <w:rPr>
          <w:u w:val="none"/>
        </w:rPr>
        <w:t xml:space="preserve"> of this Release the broadest interpretation under the law, and said releases and discharges should be interpreted so as to give effect to such intent of the Parties, acting both individually and to the extent Kemper could act derivatively on behalf of NSM, the Issuers or NSM Management. Kemper expressly waives any and all rights and benefits conferred upon Kemper by the provisions of any applicable law of any jurisdiction which provides that a release does not extend to claims which a creditor does not know or suspect to exist in its favor at the time of executing the release, which if known by it may or must have materially affected its settlement with a debtor.</w:t>
      </w:r>
    </w:p>
    <w:p>
      <w:pPr>
        <w:pStyle w:val="FlushLeft"/>
        <w:ind w:firstLine="1440" w:end="0"/>
        <w:jc w:val="both"/>
        <w:rPr/>
      </w:pPr>
      <w:r>
        <w:rPr/>
        <w:t xml:space="preserve">Kemper hereby acknowledges that its knowing and voluntary waiver of any such provision under applicable law of  any jurisdiction is an essential and material term of this Release and that without such a waiver, the Release would not have been entered into.  It is the intention of Kemper, Enron, ECT Securities and ECT Thailand that this Release shall constitute a full and general release of the Released Parties, their successors and their assigns, from any and all Claims intended to be released pursuant to </w:t>
      </w:r>
      <w:r>
        <w:rPr>
          <w:u w:val="single"/>
        </w:rPr>
        <w:t>Section 1.01(a)</w:t>
      </w:r>
      <w:r>
        <w:rPr/>
        <w:t xml:space="preserve"> hereof by Kemper and its agents to the fullest extent permitted by law.</w:t>
      </w:r>
    </w:p>
    <w:p>
      <w:pPr>
        <w:pStyle w:val="MAMergerL3"/>
        <w:numPr>
          <w:ilvl w:val="0"/>
          <w:numId w:val="0"/>
        </w:numPr>
        <w:ind w:firstLine="1440" w:start="0" w:end="0"/>
        <w:jc w:val="both"/>
        <w:rPr>
          <w:u w:val="none"/>
        </w:rPr>
      </w:pPr>
      <w:r>
        <w:rPr>
          <w:u w:val="none"/>
        </w:rPr>
        <w:t>(d)</w:t>
        <w:tab/>
        <w:t>The Parties agree that this Release will remain in effect in perpetuity.</w:t>
      </w:r>
    </w:p>
    <w:p>
      <w:pPr>
        <w:pStyle w:val="MAMergerL2"/>
        <w:numPr>
          <w:ilvl w:val="1"/>
          <w:numId w:val="3"/>
        </w:numPr>
        <w:ind w:hanging="0" w:start="0"/>
        <w:jc w:val="both"/>
        <w:rPr>
          <w:u w:val="none"/>
        </w:rPr>
      </w:pPr>
      <w:r>
        <w:rPr/>
        <w:t>Transfer of Kemper Notes</w:t>
      </w:r>
      <w:r>
        <w:rPr>
          <w:u w:val="none"/>
        </w:rPr>
        <w:t>. Kemper hereby covenants and agrees that if it shall subsequent to the Effective Date sell, transfer, assign or hypothecate any of the Kemper Notes, it (i) shall furnish to any purchaser or transferee thereof a copy of this Release before the date of any such sale, transfer, assignment or hypothecation and (ii) shall not sell, transfer, assign or hypothecate any of the Claims intended to be released pursuant to Section 1.01(a) hereof. Kemper hereby represents and warrants to each of the other Parties to this Release that it did not sell, transfer, assign or hypothecate prior to the Effective Date any of the Claims intended to be released pursuant to Section 1.01 (a) hereof.</w:t>
      </w:r>
    </w:p>
    <w:p>
      <w:pPr>
        <w:pStyle w:val="MAMergerL1"/>
        <w:numPr>
          <w:ilvl w:val="0"/>
          <w:numId w:val="3"/>
        </w:numPr>
        <w:ind w:hanging="0" w:start="0"/>
        <w:rPr/>
      </w:pPr>
      <w:r>
        <w:rPr/>
        <w:br/>
        <w:br/>
        <w:t>COOPERATION RESPECTING LITIGATION</w:t>
      </w:r>
    </w:p>
    <w:p>
      <w:pPr>
        <w:pStyle w:val="MAMergerL2"/>
        <w:numPr>
          <w:ilvl w:val="1"/>
          <w:numId w:val="3"/>
        </w:numPr>
        <w:ind w:hanging="0" w:start="0"/>
        <w:jc w:val="both"/>
        <w:rPr>
          <w:u w:val="none"/>
        </w:rPr>
      </w:pPr>
      <w:r>
        <w:rPr/>
        <w:t>Cooperation Respecting Litigation</w:t>
      </w:r>
      <w:r>
        <w:rPr>
          <w:u w:val="none"/>
        </w:rPr>
        <w:t>.  Enron, ECT Securities and ECT Thailand shall reasonably cooperate with Kemper in the litigation styled _________ _________________________________________________________ filed on _____________, _________________________________________________  and in any other related litigation (collectively the "</w:t>
      </w:r>
      <w:r>
        <w:rPr/>
        <w:t>Kemper Lawsuit</w:t>
      </w:r>
      <w:r>
        <w:rPr>
          <w:u w:val="none"/>
        </w:rPr>
        <w:t xml:space="preserve">") that Kemper is pursuing or may pursue against </w:t>
      </w:r>
      <w:r>
        <w:rPr/>
        <w:t>inter</w:t>
      </w:r>
      <w:r>
        <w:rPr>
          <w:u w:val="none"/>
        </w:rPr>
        <w:t xml:space="preserve"> </w:t>
      </w:r>
      <w:r>
        <w:rPr/>
        <w:t>alia</w:t>
      </w:r>
      <w:r>
        <w:rPr>
          <w:u w:val="none"/>
        </w:rPr>
        <w:t>, NatWest Finance, Inc., f/k/a Gleacher NatWest, Inc.  d/b/a NatWest Capital Markets Limited, KeyCorp Finance, Inc. f/k/a McDonald Investments, Inc. f/k/a McDonald &amp; Company Securities, Inc., McDonald Investments, Inc. f/k/a/ McDonald &amp; Company Securities, Inc., Steel Dynamics, Inc., NSM Steel Delaware, Inc., NSM Steel Company, Ltd., Hatch Associates Ltd., RSI Consulting, Ltd. d/b/a Resource Strategies, John W. Schultes, and Keith Busse arising out of the issuance of the Senior Notes and the Senior Subordinated Notes in March 1998 and the NSM Events and Parties.  Such cooperation shall consist of (i) making available to Kemper's counsel in such litigation ("</w:t>
      </w:r>
      <w:r>
        <w:rPr/>
        <w:t>Kemper’s Litigation Counsel</w:t>
      </w:r>
      <w:r>
        <w:rPr>
          <w:u w:val="none"/>
        </w:rPr>
        <w:t>") in a reasonably prompt time copies of non-privileged documents requested by Kemper’s Litigation Counsel and described with sufficient particularity to enable such documents to be identified by Enron, ECT Securities and ECT Thailand without undue burden or interference with their businesses,  such documents to be made available to Kemper’s  Litigation Counsel to include, without limitation, (a) all documents referring or relating to or reflecting the results of any forensic accounting conducted by or on behalf of any such entities in connection with the transactions at issue herein and the NSM Events and Parties, including but not limited to any and all summaries, outlines, memoranda and interim and final reports, (b) any and all such entities’ due diligence files with respect to the transactions at issue herein and the NSM Events and Parties, (c) all documents reviewed, generated and exchanged by any such entities in connection with the underwriting, marketing and monitoring of the transactions at issue herein and the NSM Events and Parties, and (d) all documents referring or relating to or reflecting communications between any such entities and Gleacher &amp; Co., Inc., NatWest Group Holdings Corporation, McDonald Investments, Inc. and Steel Dynamics, Inc. (including such entities’ respective predecessors or successors in interest) concerning or relating to the transactions at issue herein and the NSM Events and Parties, including but not limited to notes, correspondence, summaries, reports and memoranda; (ii) making available to Kemper’s Litigation Counsel upon request officers and employees of Enron, ECT Securities and/or ECT Thailand for live or telephonic factual interviews for reasonable periods of time and in reasonable number (live interviews to occur at Enron’s and ECT Securities’ offices in Houston, Texas unless the interviewee agrees otherwise); (iii) making available to Kemper’s Litigation Counsel upon request officers and employees of Enron, ECT Securities and/or ECT Thailand for deposition or to otherwise preserve their testimony for trial (such proceedings to be conducted at Enron’s and ECT Securities’ offices in Houston, Texas unless the witness agrees otherwise); and (iv) responding to all other reasonable requests for information by Kemper's Litigation Counsel.  Kemper shall not provide any documents and information provided by Enron, ECT Securities, ECT Thailand or any of their Affiliates pursuant to this Section 2.01 to any other Person other than any other plaintiff in the Kemper Lawsuit who has executed and delivered to Enron, ECT Securities, ECT Thailand and their Affiliates a general release in the same form and substance as this Release.  Notwithstanding any provision contained in this Section 2.01 to the contrary, Enron, ECT Securities and ECT Thailand hereby expressly covenant and agree that (i) to the best of their knowledge, all of the documents sought by Kemper pursuant to Section 2.01 hereunder, including, without limitation, the categories of documents specifically identified herein, are stored, located and otherwise maintained at the offices of Enron and ECT Securities in Houston, Texas; (ii) it is not, and will not be, burdensome for Enron, ECT Securities and ECT Thailand to make the foregoing documents available to Kemper’s Litigation Counsel; (iii) to the extent any of the documents sought by Kemper  pursuant to Section 2.01 hereunder are stored, located or otherwise maintained in Thailand, it is not, and will not be, burdensome for Enron, ECT Securities or ECT Thailand to retrieve such documents from Thailand and make them available to Kemper’s  Litigation Counsel; and (iv) the foregoing documents, deposition and other testimony and other information shall be made available pursuant to the terms of this Release without the necessity of Kemper’s Litigation Counsel obtaining letters rogatory or using any other court mandated process.  All requests by Kemper’s Litigation Counsel pursuant to this Section 2.01 shall be communicated in the first instance to Richard Sanders, Assistant General Counsel of Enron, or such other Person as Enron may from time to time designate and Kemper shall coordinate any such requests with the other plaintiffs in the Kemper lawsuit.  Enron, ECT Securities and ECT Thailand and their officers and employees, may, in their sole discretion, be represented by counsel in any or all activities undertaken at the request of Kemper’s Litigation Counsel pursuant to this Section 2.01.  All  photocopying and delivery costs, travel expenses and similar out-of-pocket costs of Enron,  ECT Securities or ECT Thailand and their officers and employees incurred in responding to any request by Kemper’s Litigation Counsel pursuant to this Section 2.01 shall be borne by Kemper  and not Enron, ECT Securities or ECT Thailand.  Enron, ECT Securities and ECT Thailand expressly covenant and agree that Kemper shall not be responsible for any attorney’s fees incurred by such entities or their officers and employees in connection with responding to any request by Kemper’s Litigation Counsel pursuant to this Section 2.01; such expenses shall be borne by Enron, ECT Securities and ECT Thailand.  Nothing herein shall be construed as any agreement by Enron, ECT Securities and/or ECT Thailand that any of their officers or employees will testify formally, or speak informally, in any manner other than truthfully and in full.  In the event of any dispute between Kemper and Enron concerning this Section 2.01, the Parties hereby waive any right to judicial relief other than an order of specific performance or declaratory relief interpreting this Section 2.01; in particular, the Parties hereby agree that any breach or alleged breach by any Party of its obligations under this Section 2.01 shall have no effect on the ongoing enforceability or validity of any other provision of this Release.</w:t>
      </w:r>
    </w:p>
    <w:p>
      <w:pPr>
        <w:pStyle w:val="MAMergerL1"/>
        <w:numPr>
          <w:ilvl w:val="0"/>
          <w:numId w:val="3"/>
        </w:numPr>
        <w:ind w:hanging="0" w:start="0"/>
        <w:rPr/>
      </w:pPr>
      <w:r>
        <w:rPr/>
        <w:br/>
        <w:br/>
        <w:t>REPRESENTATIONS AND WARRANTIES</w:t>
      </w:r>
    </w:p>
    <w:p>
      <w:pPr>
        <w:pStyle w:val="MAMergerL2"/>
        <w:numPr>
          <w:ilvl w:val="1"/>
          <w:numId w:val="3"/>
        </w:numPr>
        <w:ind w:hanging="0" w:start="0"/>
        <w:jc w:val="both"/>
        <w:rPr/>
      </w:pPr>
      <w:r>
        <w:rPr/>
        <w:t>Representations and Warranties</w:t>
      </w:r>
      <w:r>
        <w:rPr>
          <w:u w:val="none"/>
        </w:rPr>
        <w:t>.  Each Party hereby represents and warrants to each of the other Parties to this Release that:</w:t>
      </w:r>
    </w:p>
    <w:p>
      <w:pPr>
        <w:pStyle w:val="MAMergerL3"/>
        <w:numPr>
          <w:ilvl w:val="2"/>
          <w:numId w:val="3"/>
        </w:numPr>
        <w:ind w:hanging="0" w:start="0"/>
        <w:jc w:val="both"/>
        <w:rPr/>
      </w:pPr>
      <w:r>
        <w:rPr/>
        <w:t>Power and Authority</w:t>
      </w:r>
      <w:r>
        <w:rPr>
          <w:u w:val="none"/>
        </w:rPr>
        <w:t>.  It has all power and authority necessary to enter into this Release.</w:t>
      </w:r>
    </w:p>
    <w:p>
      <w:pPr>
        <w:pStyle w:val="MAMergerL3"/>
        <w:numPr>
          <w:ilvl w:val="2"/>
          <w:numId w:val="3"/>
        </w:numPr>
        <w:ind w:hanging="0" w:start="0"/>
        <w:jc w:val="both"/>
        <w:rPr/>
      </w:pPr>
      <w:r>
        <w:rPr/>
        <w:t>Enforceability</w:t>
      </w:r>
      <w:r>
        <w:rPr>
          <w:u w:val="none"/>
        </w:rPr>
        <w:t>.  This Release is valid, binding and enforceable upon it.</w:t>
      </w:r>
    </w:p>
    <w:p>
      <w:pPr>
        <w:pStyle w:val="MAMergerL3"/>
        <w:numPr>
          <w:ilvl w:val="2"/>
          <w:numId w:val="3"/>
        </w:numPr>
        <w:ind w:hanging="0" w:start="0"/>
        <w:jc w:val="both"/>
        <w:rPr/>
      </w:pPr>
      <w:r>
        <w:rPr/>
        <w:t>No Consent</w:t>
      </w:r>
      <w:r>
        <w:rPr>
          <w:u w:val="none"/>
        </w:rPr>
        <w:t>.  No consent, approval, authorization or order of, and no notice to, or filing with, any court, governmental authority or other Person is required for the execution, delivery and performance by it of this Release that has not been obtained.</w:t>
      </w:r>
    </w:p>
    <w:p>
      <w:pPr>
        <w:pStyle w:val="MAMergerL3"/>
        <w:numPr>
          <w:ilvl w:val="2"/>
          <w:numId w:val="3"/>
        </w:numPr>
        <w:ind w:hanging="0" w:start="0"/>
        <w:jc w:val="both"/>
        <w:rPr/>
      </w:pPr>
      <w:r>
        <w:rPr/>
        <w:t>No Conflict</w:t>
      </w:r>
      <w:r>
        <w:rPr>
          <w:u w:val="none"/>
        </w:rPr>
        <w:t>.  The execution, delivery and performance of this Release by it will not conflict with or contravene any contract obligations that it has.</w:t>
      </w:r>
    </w:p>
    <w:p>
      <w:pPr>
        <w:pStyle w:val="MAMergerL3"/>
        <w:numPr>
          <w:ilvl w:val="2"/>
          <w:numId w:val="3"/>
        </w:numPr>
        <w:ind w:hanging="0" w:start="0"/>
        <w:jc w:val="both"/>
        <w:rPr/>
      </w:pPr>
      <w:r>
        <w:rPr/>
        <w:t>No Duress</w:t>
      </w:r>
      <w:r>
        <w:rPr>
          <w:u w:val="none"/>
        </w:rPr>
        <w:t>.  It has entered into this Release and freely and without duress after having independently consulted with its own counsel and has reviewed with such counsel all risk factors associated therewith, as well as such other risks that such counsel has identified or suggested could be applicable or could arise in connection with the transactions that are contemplated hereby and thereby, whether such transactions are to occur presently or in the future.</w:t>
      </w:r>
    </w:p>
    <w:p>
      <w:pPr>
        <w:pStyle w:val="MAMergerL3"/>
        <w:numPr>
          <w:ilvl w:val="2"/>
          <w:numId w:val="3"/>
        </w:numPr>
        <w:ind w:hanging="0" w:start="0"/>
        <w:jc w:val="both"/>
        <w:rPr>
          <w:u w:val="none"/>
        </w:rPr>
      </w:pPr>
      <w:r>
        <w:rPr/>
        <w:t>Sole Authority</w:t>
      </w:r>
      <w:r>
        <w:rPr>
          <w:u w:val="none"/>
        </w:rPr>
        <w:t>.  It has the sole right and authority to execute this Release.</w:t>
      </w:r>
    </w:p>
    <w:p>
      <w:pPr>
        <w:pStyle w:val="Normal"/>
        <w:rPr>
          <w:u w:val="single"/>
        </w:rPr>
      </w:pPr>
      <w:r>
        <w:rPr>
          <w:u w:val="single"/>
        </w:rPr>
      </w:r>
    </w:p>
    <w:p>
      <w:pPr>
        <w:pStyle w:val="Normal"/>
        <w:ind w:firstLine="1350" w:start="90" w:end="0"/>
        <w:rPr/>
      </w:pPr>
      <w:r>
        <w:rPr/>
        <w:t>(g)</w:t>
        <w:tab/>
      </w:r>
      <w:r>
        <w:rPr>
          <w:u w:val="single"/>
        </w:rPr>
        <w:t>Ownership</w:t>
      </w:r>
      <w:r>
        <w:rPr/>
        <w:t>.  The statements with respect to itself contained in the Recitals of this Release are true, correct and complete.</w:t>
      </w:r>
    </w:p>
    <w:p>
      <w:pPr>
        <w:pStyle w:val="MAMergerL1"/>
        <w:numPr>
          <w:ilvl w:val="0"/>
          <w:numId w:val="3"/>
        </w:numPr>
        <w:ind w:hanging="0" w:start="0"/>
        <w:rPr/>
      </w:pPr>
      <w:r>
        <w:rPr/>
        <w:br/>
        <w:br/>
        <w:t>MISCELLANEOUS</w:t>
      </w:r>
    </w:p>
    <w:p>
      <w:pPr>
        <w:pStyle w:val="MAMergerL2"/>
        <w:numPr>
          <w:ilvl w:val="1"/>
          <w:numId w:val="3"/>
        </w:numPr>
        <w:ind w:hanging="0" w:start="0"/>
        <w:jc w:val="both"/>
        <w:rPr/>
      </w:pPr>
      <w:r>
        <w:rPr/>
        <w:t>Counterparts</w:t>
      </w:r>
      <w:r>
        <w:rPr>
          <w:u w:val="none"/>
        </w:rPr>
        <w:t>.  This Release may be executed by the Parties in separate counterparts, each of which when so executed and delivered by one or more Parties will be deemed an original, and all of which counterparts will together constitute one and the same instrument.  Each of the Parties agrees to execute multiple signature pages to this Release, one of which will be provided to each Party. A facsimile transmission of this Release bearing a signature on behalf of a Party will be legal and binding on such Party.</w:t>
      </w:r>
    </w:p>
    <w:p>
      <w:pPr>
        <w:pStyle w:val="MAMergerL2"/>
        <w:numPr>
          <w:ilvl w:val="1"/>
          <w:numId w:val="3"/>
        </w:numPr>
        <w:ind w:hanging="0" w:start="0"/>
        <w:jc w:val="both"/>
        <w:rPr/>
      </w:pPr>
      <w:r>
        <w:rPr/>
        <w:t>References and Titles</w:t>
      </w:r>
      <w:r>
        <w:rPr>
          <w:u w:val="none"/>
        </w:rPr>
        <w:t>.  All references in this Release to articles, sections, subsections and other subdivisions refer to corresponding articles, sections, subsections and other subdivisions of this Release, unless expressly provided otherwise. Titles appearing at the beginning of any of such subdivisions are for convenience only and will not constitute part of such subdivisions and will be disregarded in construing the language contained in such subdivision.</w:t>
      </w:r>
    </w:p>
    <w:p>
      <w:pPr>
        <w:pStyle w:val="MAMergerL2"/>
        <w:numPr>
          <w:ilvl w:val="1"/>
          <w:numId w:val="3"/>
        </w:numPr>
        <w:ind w:hanging="0" w:start="0"/>
        <w:jc w:val="both"/>
        <w:rPr/>
      </w:pPr>
      <w:r>
        <w:rPr/>
        <w:t>Severability</w:t>
      </w:r>
      <w:r>
        <w:rPr>
          <w:u w:val="none"/>
        </w:rPr>
        <w:t>.  If any provision or portion of this Release becomes invalid or unenforceable for any reason, there will be deemed to be made such minor changes in such provision or portion as are necessary to make it valid and enforceable. The invalidity or unenforceability of any provision or portion hereof will not affect the validity or enforceability of the other provisions or portions hereof.</w:t>
      </w:r>
    </w:p>
    <w:p>
      <w:pPr>
        <w:pStyle w:val="MAMergerL2"/>
        <w:numPr>
          <w:ilvl w:val="1"/>
          <w:numId w:val="3"/>
        </w:numPr>
        <w:ind w:hanging="0" w:start="0"/>
        <w:jc w:val="both"/>
        <w:rPr/>
      </w:pPr>
      <w:r>
        <w:rPr/>
        <w:t>Mandatory Choice of Law</w:t>
      </w:r>
      <w:r>
        <w:rPr>
          <w:u w:val="none"/>
        </w:rPr>
        <w:t>.  THE PROVISIONS OF THIS AGREEMENT WILL BE GOVERNED EXCLUSIVELY BY AND CONSTRUED IN ACCORDANCE WITH ONLY THE LAWS OF THE STATE OF TEXAS.  The Parties also agree that under this mandatory choice</w:t>
        <w:noBreakHyphen/>
        <w:t>of</w:t>
        <w:noBreakHyphen/>
        <w:t>law provision, the law of the State of Texas, both procedural and substantive, will apply to all claims, demands, rights and causes of action that are asserted or threatened by any Party, of whatever kind and nature, based on any legal or equitable right or theory of recovery, whether that theory of recovery sounds in contract or tort, at law or in equity, arising out of, touching upon, referring to, created by, or in any way related to, this Release, the transactions contemplated hereby, and the subject matter of, or the relationships created by, this Release.  The Parties also hereby irrevocably waive any right to a trial by jury with respect to any action brought under or in accordance with this Release.  Each Party also agrees, and recites herein, that the language of this provision is reasonable, explicit, sufficient and fundamentally fair.</w:t>
      </w:r>
    </w:p>
    <w:p>
      <w:pPr>
        <w:pStyle w:val="MAMergerL2"/>
        <w:numPr>
          <w:ilvl w:val="1"/>
          <w:numId w:val="3"/>
        </w:numPr>
        <w:ind w:hanging="0" w:start="0"/>
        <w:jc w:val="both"/>
        <w:rPr/>
      </w:pPr>
      <w:r>
        <w:rPr/>
        <w:t>Entire Agreement; Amendments and Waivers</w:t>
      </w:r>
      <w:r>
        <w:rPr>
          <w:u w:val="none"/>
        </w:rPr>
        <w:t>.  This Release constitutes the entire agreement between the Parties pertaining to the subject matter hereof and supersede all prior agreements, understandings, negotiations and discussions, whether oral or written, of the Parties, and there are no warranties, representations or other agreements between the Parties in connection with the subject matter hereof except as set forth specifically in this Release.  No supplement, modification or waiver of this Release will be binding unless executed in writing by all Parties. No waiver of any of the provisions of this Release will be deemed or will constitute a waiver of any other provision hereof (regardless of whether similar), nor will any such waiver constitute a continuing waiver unless otherwise expressly provided.</w:t>
      </w:r>
    </w:p>
    <w:p>
      <w:pPr>
        <w:pStyle w:val="MAMergerL2"/>
        <w:numPr>
          <w:ilvl w:val="1"/>
          <w:numId w:val="3"/>
        </w:numPr>
        <w:ind w:hanging="0" w:start="0"/>
        <w:jc w:val="both"/>
        <w:rPr/>
      </w:pPr>
      <w:r>
        <w:rPr/>
        <w:t>Binding Effect and Assignment</w:t>
      </w:r>
      <w:r>
        <w:rPr>
          <w:u w:val="none"/>
        </w:rPr>
        <w:t xml:space="preserve">.  This Release is binding upon and enforceable by, and will inure to the benefit of, the Parties and their respective successors and assigns and the other Persons listed in </w:t>
      </w:r>
      <w:r>
        <w:rPr/>
        <w:t>Section 1.01</w:t>
      </w:r>
      <w:r>
        <w:rPr>
          <w:u w:val="none"/>
        </w:rPr>
        <w:t xml:space="preserve"> as being released.  Nothing in this Release, express or implied, is intended to confer upon any other person any rights, benefits or obligations hereunder.</w:t>
      </w:r>
    </w:p>
    <w:p>
      <w:pPr>
        <w:pStyle w:val="MAMergerL2"/>
        <w:numPr>
          <w:ilvl w:val="1"/>
          <w:numId w:val="3"/>
        </w:numPr>
        <w:ind w:hanging="0" w:start="0"/>
        <w:jc w:val="both"/>
        <w:rPr/>
      </w:pPr>
      <w:r>
        <w:rPr/>
        <w:t>Limited Admissibility</w:t>
      </w:r>
      <w:r>
        <w:rPr>
          <w:u w:val="none"/>
        </w:rPr>
        <w:t>.  This Release may not be entered into evidence at any trial or other proceeding other than for the purpose of enforcing its terms.</w:t>
      </w:r>
    </w:p>
    <w:p>
      <w:pPr>
        <w:pStyle w:val="MAMergerL2"/>
        <w:numPr>
          <w:ilvl w:val="1"/>
          <w:numId w:val="3"/>
        </w:numPr>
        <w:ind w:hanging="0" w:start="0"/>
        <w:jc w:val="both"/>
        <w:rPr/>
      </w:pPr>
      <w:r>
        <w:rPr/>
        <w:t>Joint Efforts</w:t>
      </w:r>
      <w:r>
        <w:rPr>
          <w:u w:val="none"/>
        </w:rPr>
        <w:t>.  Neither this Release nor any ambiguity or uncertainty herein may be construed against any Party, whether under any rule of construction or otherwise. On the contrary, this Release has been prepared by the joint efforts of the respective attorneys for, and has been reviewed by, each of the Parties.</w:t>
      </w:r>
    </w:p>
    <w:p>
      <w:pPr>
        <w:pStyle w:val="MAMergerL2"/>
        <w:numPr>
          <w:ilvl w:val="1"/>
          <w:numId w:val="3"/>
        </w:numPr>
        <w:ind w:hanging="0" w:start="0"/>
        <w:jc w:val="both"/>
        <w:rPr>
          <w:u w:val="none"/>
        </w:rPr>
      </w:pPr>
      <w:r>
        <w:rPr/>
        <w:t>Notices</w:t>
      </w:r>
      <w:r>
        <w:rPr>
          <w:u w:val="none"/>
        </w:rPr>
        <w:t>.  Any notice, request, instruction, correspondence or other document to be given hereunder by any Party to another Party (a "</w:t>
      </w:r>
      <w:r>
        <w:rPr/>
        <w:t>Notice</w:t>
      </w:r>
      <w:r>
        <w:rPr>
          <w:u w:val="none"/>
        </w:rPr>
        <w:t>") will be in writing and delivered personally or mailed by registered or certified mail, postage prepaid and return receipt requested (except in such case where mailing by first class mail is expressly permitted), or sent by reputable overnight courier service, or sent by telecopier, as follows:</w:t>
      </w:r>
    </w:p>
    <w:p>
      <w:pPr>
        <w:pStyle w:val="MAMergerL3"/>
        <w:keepNext w:val="true"/>
        <w:numPr>
          <w:ilvl w:val="2"/>
          <w:numId w:val="3"/>
        </w:numPr>
        <w:ind w:hanging="720" w:start="2160" w:end="0"/>
        <w:jc w:val="both"/>
        <w:rPr>
          <w:u w:val="none"/>
        </w:rPr>
      </w:pPr>
      <w:r>
        <w:rPr>
          <w:u w:val="none"/>
        </w:rPr>
        <w:t>If to ______________________________________________________, addressed to:</w:t>
      </w:r>
    </w:p>
    <w:p>
      <w:pPr>
        <w:pStyle w:val="Normal"/>
        <w:keepNext w:val="true"/>
        <w:jc w:val="both"/>
        <w:rPr>
          <w:u w:val="none"/>
        </w:rPr>
      </w:pPr>
      <w:r>
        <w:rPr>
          <w:u w:val="none"/>
        </w:rPr>
      </w:r>
    </w:p>
    <w:p>
      <w:pPr>
        <w:pStyle w:val="Normal"/>
        <w:ind w:start="2160" w:end="0"/>
        <w:jc w:val="both"/>
        <w:rPr/>
      </w:pPr>
      <w:r>
        <w:rPr/>
      </w:r>
    </w:p>
    <w:p>
      <w:pPr>
        <w:pStyle w:val="Normal"/>
        <w:ind w:start="2160" w:end="0"/>
        <w:jc w:val="both"/>
        <w:rPr/>
      </w:pPr>
      <w:r>
        <w:rPr/>
      </w:r>
    </w:p>
    <w:p>
      <w:pPr>
        <w:pStyle w:val="Normal"/>
        <w:ind w:start="2160" w:end="0"/>
        <w:jc w:val="both"/>
        <w:rPr/>
      </w:pPr>
      <w:r>
        <w:rPr/>
      </w:r>
    </w:p>
    <w:p>
      <w:pPr>
        <w:pStyle w:val="Normal"/>
        <w:ind w:start="2160" w:end="0"/>
        <w:jc w:val="both"/>
        <w:rPr/>
      </w:pPr>
      <w:r>
        <w:rPr/>
      </w:r>
    </w:p>
    <w:p>
      <w:pPr>
        <w:pStyle w:val="Normal"/>
        <w:ind w:start="2160" w:end="0"/>
        <w:jc w:val="both"/>
        <w:rPr/>
      </w:pPr>
      <w:r>
        <w:rPr/>
      </w:r>
    </w:p>
    <w:p>
      <w:pPr>
        <w:pStyle w:val="Normal"/>
        <w:ind w:start="2160" w:end="0"/>
        <w:jc w:val="both"/>
        <w:rPr/>
      </w:pPr>
      <w:r>
        <w:rPr/>
        <w:t>with copies to:</w:t>
      </w:r>
    </w:p>
    <w:p>
      <w:pPr>
        <w:pStyle w:val="Normal"/>
        <w:ind w:start="2178" w:end="0"/>
        <w:jc w:val="both"/>
        <w:rPr/>
      </w:pPr>
      <w:r>
        <w:rPr/>
      </w:r>
    </w:p>
    <w:p>
      <w:pPr>
        <w:pStyle w:val="Normal"/>
        <w:ind w:start="2178" w:end="0"/>
        <w:jc w:val="both"/>
        <w:rPr/>
      </w:pPr>
      <w:r>
        <w:rPr/>
      </w:r>
    </w:p>
    <w:p>
      <w:pPr>
        <w:pStyle w:val="Normal"/>
        <w:ind w:start="2178" w:end="0"/>
        <w:jc w:val="both"/>
        <w:rPr/>
      </w:pPr>
      <w:r>
        <w:rPr/>
      </w:r>
    </w:p>
    <w:p>
      <w:pPr>
        <w:pStyle w:val="Normal"/>
        <w:ind w:start="2178" w:end="0"/>
        <w:jc w:val="both"/>
        <w:rPr/>
      </w:pPr>
      <w:r>
        <w:rPr/>
      </w:r>
    </w:p>
    <w:p>
      <w:pPr>
        <w:pStyle w:val="Normal"/>
        <w:ind w:start="2160" w:end="0"/>
        <w:jc w:val="both"/>
        <w:rPr/>
      </w:pPr>
      <w:r>
        <w:rPr/>
      </w:r>
    </w:p>
    <w:p>
      <w:pPr>
        <w:pStyle w:val="MAMergerL3"/>
        <w:keepNext w:val="true"/>
        <w:numPr>
          <w:ilvl w:val="2"/>
          <w:numId w:val="3"/>
        </w:numPr>
        <w:ind w:hanging="0" w:start="0"/>
        <w:jc w:val="both"/>
        <w:rPr>
          <w:u w:val="none"/>
        </w:rPr>
      </w:pPr>
      <w:r>
        <w:rPr>
          <w:u w:val="none"/>
        </w:rPr>
        <w:t>If to Enron, ECT Securities or ECT Thailand addressed to:</w:t>
      </w:r>
    </w:p>
    <w:p>
      <w:pPr>
        <w:pStyle w:val="Normal"/>
        <w:keepNext w:val="true"/>
        <w:jc w:val="both"/>
        <w:rPr>
          <w:u w:val="none"/>
        </w:rPr>
      </w:pPr>
      <w:r>
        <w:rPr>
          <w:u w:val="none"/>
        </w:rPr>
      </w:r>
    </w:p>
    <w:p>
      <w:pPr>
        <w:pStyle w:val="Normal"/>
        <w:ind w:start="2160" w:end="0"/>
        <w:jc w:val="both"/>
        <w:rPr/>
      </w:pPr>
      <w:r>
        <w:rPr/>
        <w:t>Enron North America Corp.</w:t>
      </w:r>
    </w:p>
    <w:p>
      <w:pPr>
        <w:pStyle w:val="Normal"/>
        <w:ind w:start="2160" w:end="0"/>
        <w:jc w:val="both"/>
        <w:rPr/>
      </w:pPr>
      <w:r>
        <w:rPr/>
        <w:t>1400 Smith Street</w:t>
      </w:r>
    </w:p>
    <w:p>
      <w:pPr>
        <w:pStyle w:val="Normal"/>
        <w:ind w:start="2160" w:end="0"/>
        <w:jc w:val="both"/>
        <w:rPr/>
      </w:pPr>
      <w:r>
        <w:rPr/>
        <w:t>Houston, Texas  77002</w:t>
      </w:r>
    </w:p>
    <w:p>
      <w:pPr>
        <w:pStyle w:val="Normal"/>
        <w:ind w:start="2160" w:end="0"/>
        <w:jc w:val="both"/>
        <w:rPr/>
      </w:pPr>
      <w:r>
        <w:rPr/>
        <w:t>Attention:  Donna W. Lowry</w:t>
      </w:r>
    </w:p>
    <w:p>
      <w:pPr>
        <w:pStyle w:val="Normal"/>
        <w:ind w:start="2160" w:end="0"/>
        <w:jc w:val="both"/>
        <w:rPr/>
      </w:pPr>
      <w:r>
        <w:rPr/>
        <w:t>Telecopier:  (713) 646-4039 or</w:t>
      </w:r>
    </w:p>
    <w:p>
      <w:pPr>
        <w:pStyle w:val="Normal"/>
        <w:ind w:firstLine="720" w:start="2160" w:end="0"/>
        <w:jc w:val="both"/>
        <w:rPr/>
      </w:pPr>
      <w:r>
        <w:rPr/>
        <w:t xml:space="preserve">        </w:t>
      </w:r>
      <w:r>
        <w:rPr/>
        <w:t>(713) 646-4946</w:t>
      </w:r>
    </w:p>
    <w:p>
      <w:pPr>
        <w:pStyle w:val="Normal"/>
        <w:ind w:firstLine="720" w:start="1440" w:end="0"/>
        <w:jc w:val="both"/>
        <w:rPr/>
      </w:pPr>
      <w:r>
        <w:rPr/>
      </w:r>
    </w:p>
    <w:p>
      <w:pPr>
        <w:pStyle w:val="Normal"/>
        <w:ind w:firstLine="720" w:start="1440" w:end="0"/>
        <w:jc w:val="both"/>
        <w:rPr/>
      </w:pPr>
      <w:r>
        <w:rPr/>
      </w:r>
    </w:p>
    <w:p>
      <w:pPr>
        <w:pStyle w:val="Normal"/>
        <w:ind w:firstLine="720" w:start="1440" w:end="0"/>
        <w:jc w:val="both"/>
        <w:rPr/>
      </w:pPr>
      <w:r>
        <w:rPr/>
        <w:t xml:space="preserve"> </w:t>
      </w:r>
      <w:r>
        <w:rPr/>
        <w:t>with a copy to:</w:t>
      </w:r>
    </w:p>
    <w:p>
      <w:pPr>
        <w:pStyle w:val="Normal"/>
        <w:ind w:firstLine="90" w:start="2160" w:end="0"/>
        <w:jc w:val="both"/>
        <w:rPr/>
      </w:pPr>
      <w:r>
        <w:rPr/>
      </w:r>
    </w:p>
    <w:p>
      <w:pPr>
        <w:pStyle w:val="Normal"/>
        <w:ind w:firstLine="90" w:start="2160" w:end="0"/>
        <w:jc w:val="both"/>
        <w:rPr/>
      </w:pPr>
      <w:r>
        <w:rPr/>
        <w:t>Enron North America Corp.</w:t>
      </w:r>
    </w:p>
    <w:p>
      <w:pPr>
        <w:pStyle w:val="Normal"/>
        <w:ind w:firstLine="90" w:start="2160" w:end="0"/>
        <w:jc w:val="both"/>
        <w:rPr/>
      </w:pPr>
      <w:r>
        <w:rPr/>
        <w:t>1400 Smith Street</w:t>
      </w:r>
    </w:p>
    <w:p>
      <w:pPr>
        <w:pStyle w:val="Normal"/>
        <w:ind w:firstLine="90" w:start="2160" w:end="0"/>
        <w:jc w:val="both"/>
        <w:rPr/>
      </w:pPr>
      <w:r>
        <w:rPr/>
        <w:t>Houston, Texas  77002</w:t>
      </w:r>
    </w:p>
    <w:p>
      <w:pPr>
        <w:pStyle w:val="Normal"/>
        <w:ind w:firstLine="90" w:start="2160" w:end="0"/>
        <w:jc w:val="both"/>
        <w:rPr/>
      </w:pPr>
      <w:r>
        <w:rPr/>
        <w:t>Attention:  Lisa J. Mellencamp</w:t>
      </w:r>
    </w:p>
    <w:p>
      <w:pPr>
        <w:pStyle w:val="Normal"/>
        <w:ind w:firstLine="90" w:start="2160" w:end="0"/>
        <w:jc w:val="both"/>
        <w:rPr/>
      </w:pPr>
      <w:r>
        <w:rPr/>
        <w:t>Telecopier:  (713) 646-3393</w:t>
      </w:r>
    </w:p>
    <w:p>
      <w:pPr>
        <w:pStyle w:val="FlushLeft"/>
        <w:jc w:val="both"/>
        <w:rPr/>
      </w:pPr>
      <w:r>
        <w:rPr/>
        <w:t>Any Notice given by personal delivery, overnight courier service or mail will be deemed received upon the later of (A) the date of confirmed telecopy transmission or (B) the date of delivery of such notice to the office of the addressee if delivered by delivery service or the fifth (5th) Business Day after the deposit into the U.S. Mail, postage paid.  Any Party may change any address to which a Notice is to be given to it by giving a Notice of such change of address as provided above.</w:t>
      </w:r>
      <w:r>
        <w:br w:type="page"/>
      </w:r>
    </w:p>
    <w:p>
      <w:pPr>
        <w:pStyle w:val="BodyText"/>
        <w:jc w:val="both"/>
        <w:rPr/>
      </w:pPr>
      <w:r>
        <w:rPr/>
        <w:t>IN WITNESS WHEREOF, the Parties have duly executed this Release as of the date first above written.</w:t>
      </w:r>
    </w:p>
    <w:p>
      <w:pPr>
        <w:pStyle w:val="BodyText"/>
        <w:jc w:val="both"/>
        <w:rPr/>
      </w:pPr>
      <w:r>
        <w:rPr/>
        <w:tab/>
        <w:tab/>
        <w:tab/>
        <w:tab/>
        <w:t>__________________________________________</w:t>
        <w:tab/>
      </w:r>
    </w:p>
    <w:p>
      <w:pPr>
        <w:pStyle w:val="Signature"/>
        <w:jc w:val="both"/>
        <w:rPr/>
      </w:pPr>
      <w:r>
        <w:rPr/>
      </w:r>
    </w:p>
    <w:p>
      <w:pPr>
        <w:pStyle w:val="Signature"/>
        <w:jc w:val="both"/>
        <w:rPr/>
      </w:pPr>
      <w:r>
        <w:rPr/>
        <w:t>By:</w:t>
        <w:tab/>
        <w:t>____________________________________</w:t>
      </w:r>
    </w:p>
    <w:p>
      <w:pPr>
        <w:pStyle w:val="Signature"/>
        <w:jc w:val="both"/>
        <w:rPr/>
      </w:pPr>
      <w:r>
        <w:rPr/>
        <w:t>Name:</w:t>
        <w:tab/>
        <w:t>____________________________________</w:t>
      </w:r>
    </w:p>
    <w:p>
      <w:pPr>
        <w:pStyle w:val="Signature"/>
        <w:jc w:val="both"/>
        <w:rPr/>
      </w:pPr>
      <w:r>
        <w:rPr/>
        <w:t>Title:</w:t>
        <w:tab/>
        <w:t>____________________________________</w:t>
        <w:br/>
      </w:r>
    </w:p>
    <w:p>
      <w:pPr>
        <w:pStyle w:val="Signature"/>
        <w:pBdr>
          <w:bottom w:val="single" w:sz="12" w:space="1" w:color="000000"/>
        </w:pBdr>
        <w:jc w:val="both"/>
        <w:rPr/>
      </w:pPr>
      <w:r>
        <w:rPr/>
      </w:r>
    </w:p>
    <w:p>
      <w:pPr>
        <w:pStyle w:val="Signature"/>
        <w:jc w:val="both"/>
        <w:rPr>
          <w:caps/>
        </w:rPr>
      </w:pPr>
      <w:r>
        <w:rPr>
          <w:caps/>
        </w:rPr>
      </w:r>
    </w:p>
    <w:p>
      <w:pPr>
        <w:pStyle w:val="Signature"/>
        <w:jc w:val="both"/>
        <w:rPr>
          <w:caps/>
        </w:rPr>
      </w:pPr>
      <w:r>
        <w:rPr>
          <w:caps/>
        </w:rPr>
      </w:r>
    </w:p>
    <w:p>
      <w:pPr>
        <w:pStyle w:val="Signature"/>
        <w:jc w:val="both"/>
        <w:rPr/>
      </w:pPr>
      <w:r>
        <w:rPr/>
      </w:r>
    </w:p>
    <w:p>
      <w:pPr>
        <w:pStyle w:val="Signature"/>
        <w:jc w:val="both"/>
        <w:rPr/>
      </w:pPr>
      <w:r>
        <w:rPr/>
      </w:r>
    </w:p>
    <w:p>
      <w:pPr>
        <w:pStyle w:val="Signature"/>
        <w:jc w:val="both"/>
        <w:rPr/>
      </w:pPr>
      <w:r>
        <w:rPr/>
        <w:t>ENRON NORTH AMERICA CORP., a Delaware corporation</w:t>
      </w:r>
    </w:p>
    <w:p>
      <w:pPr>
        <w:pStyle w:val="Signature"/>
        <w:jc w:val="both"/>
        <w:rPr/>
      </w:pPr>
      <w:r>
        <w:rPr/>
      </w:r>
    </w:p>
    <w:p>
      <w:pPr>
        <w:pStyle w:val="Signature"/>
        <w:jc w:val="both"/>
        <w:rPr/>
      </w:pPr>
      <w:r>
        <w:rPr/>
      </w:r>
    </w:p>
    <w:p>
      <w:pPr>
        <w:pStyle w:val="Signature"/>
        <w:jc w:val="both"/>
        <w:rPr/>
      </w:pPr>
      <w:r>
        <w:rPr/>
        <w:t>By:</w:t>
        <w:tab/>
        <w:t>____________________________________</w:t>
      </w:r>
    </w:p>
    <w:p>
      <w:pPr>
        <w:pStyle w:val="Signature"/>
        <w:jc w:val="both"/>
        <w:rPr/>
      </w:pPr>
      <w:r>
        <w:rPr/>
        <w:t>Name:</w:t>
        <w:tab/>
        <w:t>____________________________________</w:t>
      </w:r>
    </w:p>
    <w:p>
      <w:pPr>
        <w:pStyle w:val="Signature"/>
        <w:jc w:val="both"/>
        <w:rPr/>
      </w:pPr>
      <w:r>
        <w:rPr/>
        <w:t>Title:</w:t>
        <w:tab/>
        <w:t>____________________________________</w:t>
        <w:br/>
      </w:r>
    </w:p>
    <w:p>
      <w:pPr>
        <w:pStyle w:val="Signature"/>
        <w:jc w:val="both"/>
        <w:rPr/>
      </w:pPr>
      <w:r>
        <w:rPr/>
      </w:r>
    </w:p>
    <w:p>
      <w:pPr>
        <w:pStyle w:val="Signature"/>
        <w:rPr/>
      </w:pPr>
      <w:r>
        <w:rPr/>
        <w:t>ECT SECURITIES LIMITED PARTNERSHIP, a Delaware limited partnership, as successor by merger to ECT Securities Corp.</w:t>
        <w:br/>
        <w:br/>
        <w:t>By:</w:t>
        <w:tab/>
        <w:t>ECT Securities GP Corp., a Delaware</w:t>
      </w:r>
    </w:p>
    <w:p>
      <w:pPr>
        <w:pStyle w:val="Signature"/>
        <w:ind w:firstLine="720" w:end="0"/>
        <w:rPr/>
      </w:pPr>
      <w:r>
        <w:rPr/>
        <w:t>corporation, its general partner</w:t>
        <w:br/>
      </w:r>
    </w:p>
    <w:p>
      <w:pPr>
        <w:pStyle w:val="Signature"/>
        <w:jc w:val="both"/>
        <w:rPr/>
      </w:pPr>
      <w:r>
        <w:rPr/>
      </w:r>
    </w:p>
    <w:p>
      <w:pPr>
        <w:pStyle w:val="Signature"/>
        <w:jc w:val="both"/>
        <w:rPr/>
      </w:pPr>
      <w:r>
        <w:rPr/>
        <w:t>By:</w:t>
        <w:tab/>
        <w:t>____________________________________</w:t>
      </w:r>
    </w:p>
    <w:p>
      <w:pPr>
        <w:pStyle w:val="Signature"/>
        <w:jc w:val="both"/>
        <w:rPr/>
      </w:pPr>
      <w:r>
        <w:rPr/>
        <w:t>Name:</w:t>
        <w:tab/>
        <w:t>____________________________________</w:t>
      </w:r>
    </w:p>
    <w:p>
      <w:pPr>
        <w:pStyle w:val="Signature"/>
        <w:jc w:val="both"/>
        <w:rPr/>
      </w:pPr>
      <w:r>
        <w:rPr/>
        <w:t>Title:</w:t>
        <w:tab/>
        <w:t>____________________________________</w:t>
        <w:br/>
      </w:r>
    </w:p>
    <w:p>
      <w:pPr>
        <w:pStyle w:val="Signature"/>
        <w:jc w:val="both"/>
        <w:rPr/>
      </w:pPr>
      <w:r>
        <w:rPr/>
      </w:r>
    </w:p>
    <w:p>
      <w:pPr>
        <w:pStyle w:val="Signature"/>
        <w:jc w:val="both"/>
        <w:rPr/>
      </w:pPr>
      <w:r>
        <w:rPr/>
        <w:t>ECT THAILAND INVESTMENTS, INC., a</w:t>
      </w:r>
    </w:p>
    <w:p>
      <w:pPr>
        <w:pStyle w:val="Signature"/>
        <w:jc w:val="both"/>
        <w:rPr/>
      </w:pPr>
      <w:r>
        <w:rPr/>
        <w:t>Delaware corporation</w:t>
      </w:r>
    </w:p>
    <w:p>
      <w:pPr>
        <w:pStyle w:val="Signature"/>
        <w:jc w:val="both"/>
        <w:rPr/>
      </w:pPr>
      <w:r>
        <w:rPr/>
      </w:r>
    </w:p>
    <w:p>
      <w:pPr>
        <w:pStyle w:val="Signature"/>
        <w:jc w:val="both"/>
        <w:rPr/>
      </w:pPr>
      <w:r>
        <w:rPr/>
      </w:r>
    </w:p>
    <w:p>
      <w:pPr>
        <w:pStyle w:val="Signature"/>
        <w:jc w:val="both"/>
        <w:rPr/>
      </w:pPr>
      <w:r>
        <w:rPr/>
        <w:t>By:</w:t>
        <w:tab/>
        <w:t>____________________________________</w:t>
      </w:r>
    </w:p>
    <w:p>
      <w:pPr>
        <w:pStyle w:val="Signature"/>
        <w:jc w:val="both"/>
        <w:rPr/>
      </w:pPr>
      <w:r>
        <w:rPr/>
        <w:t>Name:</w:t>
        <w:tab/>
        <w:t>____________________________________</w:t>
      </w:r>
    </w:p>
    <w:p>
      <w:pPr>
        <w:pStyle w:val="Signature"/>
        <w:jc w:val="both"/>
        <w:rPr/>
      </w:pPr>
      <w:r>
        <w:rPr/>
        <w:t>Title:</w:t>
        <w:tab/>
        <w:t>____________________________________</w:t>
      </w:r>
    </w:p>
    <w:p>
      <w:pPr>
        <w:pStyle w:val="Signature"/>
        <w:jc w:val="both"/>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ind w:end="360"/>
      <w:rPr>
        <w:b/>
        <w:sz w:val="16"/>
        <w:lang w:eastAsia="en-US"/>
      </w:rPr>
    </w:pPr>
    <w:r>
      <w:rPr>
        <w:b/>
        <w:sz w:val="16"/>
        <w:lang w:eastAsia="en-US"/>
      </w:rPr>
      <w:fldChar w:fldCharType="begin"/>
    </w:r>
    <w:r>
      <w:rPr>
        <w:sz w:val="16"/>
        <w:b/>
        <w:lang w:eastAsia="en-US"/>
      </w:rPr>
      <w:instrText xml:space="preserve"> FILENAME \p </w:instrText>
    </w:r>
    <w:r>
      <w:rPr>
        <w:sz w:val="16"/>
        <w:b/>
        <w:lang w:eastAsia="en-US"/>
      </w:rPr>
      <w:fldChar w:fldCharType="separate"/>
    </w:r>
    <w:r>
      <w:rPr>
        <w:sz w:val="16"/>
        <w:b/>
        <w:lang w:eastAsia="en-US"/>
      </w:rPr>
      <w:t>/mnt/main-storage/datasets/enron-docs/doc/Kemper_Limited_Release12.8.99.doc</w:t>
    </w:r>
    <w:r>
      <w:rPr>
        <w:sz w:val="16"/>
        <w:b/>
        <w:lang w:eastAsia="en-US"/>
      </w:rPr>
      <w:fldChar w:fldCharType="end"/>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lang w:eastAsia="en-US"/>
      </w:rPr>
    </w:pPr>
    <w:r>
      <w:rPr>
        <w:sz w:val="16"/>
        <w:lang w:eastAsia="en-U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upperLetter"/>
      <w:lvlText w:val="%1."/>
      <w:lvlJc w:val="start"/>
      <w:pPr>
        <w:tabs>
          <w:tab w:val="num" w:pos="2160"/>
        </w:tabs>
        <w:ind w:start="2160" w:hanging="720"/>
      </w:pPr>
      <w:rPr/>
    </w:lvl>
  </w:abstractNum>
  <w:abstractNum w:abstractNumId="3">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Section %1.%2"/>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216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Letter"/>
      <w:lvlText w:val="(%6)"/>
      <w:lvlJc w:val="start"/>
      <w:pPr>
        <w:tabs>
          <w:tab w:val="num" w:pos="3600"/>
        </w:tabs>
        <w:ind w:start="3600" w:hanging="720"/>
      </w:pPr>
      <w:rPr>
        <w:sz w:val="24"/>
        <w:rFonts w:ascii="Times New Roman" w:hAnsi="Times New Roman" w:cs="Times New Roman"/>
      </w:rPr>
    </w:lvl>
    <w:lvl w:ilvl="6">
      <w:start w:val="1"/>
      <w:numFmt w:val="lowerRoman"/>
      <w:lvlText w:val="(%7)"/>
      <w:lvlJc w:val="start"/>
      <w:pPr>
        <w:tabs>
          <w:tab w:val="num" w:pos="4320"/>
        </w:tabs>
        <w:ind w:start="4320" w:hanging="720"/>
      </w:pPr>
      <w:rPr>
        <w:sz w:val="24"/>
        <w:rFonts w:ascii="Times New Roman" w:hAnsi="Times New Roman" w:cs="Times New Roman"/>
      </w:rPr>
    </w:lvl>
    <w:lvl w:ilvl="7">
      <w:start w:val="1"/>
      <w:numFmt w:val="upperLetter"/>
      <w:lvlText w:val="(%8)"/>
      <w:lvlJc w:val="start"/>
      <w:pPr>
        <w:tabs>
          <w:tab w:val="num" w:pos="5040"/>
        </w:tabs>
        <w:ind w:start="5040" w:hanging="720"/>
      </w:pPr>
      <w:rPr>
        <w:sz w:val="24"/>
        <w:rFonts w:ascii="Times New Roman" w:hAnsi="Times New Roman" w:cs="Times New Roman"/>
      </w:rPr>
    </w:lvl>
    <w:lvl w:ilvl="8">
      <w:start w:val="1"/>
      <w:numFmt w:val="lowerLetter"/>
      <w:lvlText w:val="(%9)"/>
      <w:lvlJc w:val="start"/>
      <w:pPr>
        <w:tabs>
          <w:tab w:val="num" w:pos="5760"/>
        </w:tabs>
        <w:ind w:start="5760" w:hanging="720"/>
      </w:pPr>
      <w:rPr>
        <w:sz w:val="24"/>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docVars>
    <w:docVar w:name="zzmpFixedCurrentTOCScheme" w:val="MAMerger"/>
    <w:docVar w:name="zzmpFixedCurScheme" w:val="MAMerger"/>
    <w:docVar w:name="zzmpFixedDOC_ID" w:val="H:\Docs\nsmreleas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sz w:val="24"/>
      <w:lang w:val="en-U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sz w:val="24"/>
      <w:lang w:val="en-US"/>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z w:val="24"/>
      <w:lang w:val="en-US"/>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lang w:val="en-US"/>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lang w:val="en-US"/>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lang w:val="en-US"/>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lang w:val="en-US"/>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lang w:val="en-US"/>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lang w:val="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color w:val="auto"/>
    </w:rPr>
  </w:style>
  <w:style w:type="character" w:styleId="WW8Num15z0">
    <w:name w:val="WW8Num15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5z1">
    <w:name w:val="WW8Num1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5z5">
    <w:name w:val="WW8Num15z5"/>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zzmpTrailerItem">
    <w:name w:val="zzmpTrailerItem"/>
    <w:basedOn w:val="DefaultParagraphFont"/>
    <w:qFormat/>
    <w:rPr>
      <w:b/>
      <w:sz w:val="16"/>
      <w:u w:val="single"/>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z w:val="24"/>
      <w:lang w:val="en-US"/>
    </w:rPr>
  </w:style>
  <w:style w:type="paragraph" w:styleId="Footer">
    <w:name w:val="footer"/>
    <w:basedOn w:val="Normal"/>
    <w:pPr>
      <w:tabs>
        <w:tab w:val="clear" w:pos="720"/>
        <w:tab w:val="center" w:pos="4320" w:leader="none"/>
        <w:tab w:val="right" w:pos="9360" w:leader="none"/>
      </w:tabs>
      <w:spacing w:lineRule="atLeast" w:line="240"/>
    </w:pPr>
    <w:rPr>
      <w:lang w:val="en-US"/>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720" w:end="0"/>
    </w:pPr>
    <w:rPr/>
  </w:style>
  <w:style w:type="paragraph" w:styleId="Centered">
    <w:name w:val="Centered"/>
    <w:basedOn w:val="Normal"/>
    <w:next w:val="BodyText"/>
    <w:qFormat/>
    <w:pPr>
      <w:spacing w:lineRule="exact" w:line="240" w:before="240" w:after="0"/>
      <w:jc w:val="center"/>
    </w:pPr>
    <w:rPr>
      <w:sz w:val="24"/>
      <w:lang w:val="en-US"/>
    </w:rPr>
  </w:style>
  <w:style w:type="paragraph" w:styleId="DeliveryPhrase">
    <w:name w:val="Delivery Phrase"/>
    <w:basedOn w:val="Normal"/>
    <w:next w:val="Normal"/>
    <w:qFormat/>
    <w:pPr>
      <w:spacing w:before="240" w:after="0"/>
    </w:pPr>
    <w:rPr>
      <w:b/>
      <w:caps/>
      <w:sz w:val="24"/>
      <w:lang w:val="en-US"/>
    </w:rPr>
  </w:style>
  <w:style w:type="paragraph" w:styleId="EnvelopeAddress">
    <w:name w:val="envelope address"/>
    <w:basedOn w:val="Normal"/>
    <w:pPr/>
    <w:rPr>
      <w:sz w:val="24"/>
      <w:lang w:val="en-US"/>
    </w:rPr>
  </w:style>
  <w:style w:type="paragraph" w:styleId="FlushLeft">
    <w:name w:val="Flush Left"/>
    <w:basedOn w:val="Normal"/>
    <w:qFormat/>
    <w:pPr>
      <w:spacing w:before="240" w:after="0"/>
    </w:pPr>
    <w:rPr/>
  </w:style>
  <w:style w:type="paragraph" w:styleId="FootnoteText">
    <w:name w:val="footnote text"/>
    <w:basedOn w:val="Normal"/>
    <w:pPr/>
    <w:rPr>
      <w:sz w:val="22"/>
      <w:lang w:val="en-US"/>
    </w:rPr>
  </w:style>
  <w:style w:type="paragraph" w:styleId="HeaderNumbers">
    <w:name w:val="HeaderNumbers"/>
    <w:basedOn w:val="Normal"/>
    <w:qFormat/>
    <w:pPr>
      <w:spacing w:lineRule="exact" w:line="480" w:before="720" w:after="0"/>
      <w:ind w:hanging="0" w:start="0" w:end="144"/>
      <w:jc w:val="end"/>
    </w:pPr>
    <w:rPr>
      <w:sz w:val="24"/>
      <w:lang w:val="en-US"/>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LeftHeading">
    <w:name w:val="Left Heading"/>
    <w:basedOn w:val="Normal"/>
    <w:next w:val="Normal"/>
    <w:qFormat/>
    <w:pPr/>
    <w:rPr>
      <w:b/>
      <w:sz w:val="24"/>
      <w:lang w:val="en-US"/>
    </w:rPr>
  </w:style>
  <w:style w:type="paragraph" w:styleId="LetterDate">
    <w:name w:val="Letter Date"/>
    <w:basedOn w:val="Normal"/>
    <w:next w:val="BodyText"/>
    <w:qFormat/>
    <w:pPr/>
    <w:rPr>
      <w:sz w:val="24"/>
      <w:lang w:val="en-US"/>
    </w:rPr>
  </w:style>
  <w:style w:type="paragraph" w:styleId="LetterClosing">
    <w:name w:val="LetterClosing"/>
    <w:basedOn w:val="Normal"/>
    <w:next w:val="Normal"/>
    <w:qFormat/>
    <w:pPr/>
    <w:rPr>
      <w:sz w:val="24"/>
      <w:lang w:val="en-US"/>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lineRule="exact" w:line="240" w:before="240" w:after="0"/>
      <w:ind w:hanging="0" w:start="1440" w:end="1440"/>
    </w:pPr>
    <w:rPr/>
  </w:style>
  <w:style w:type="paragraph" w:styleId="SDP">
    <w:name w:val="SDP"/>
    <w:basedOn w:val="Normal"/>
    <w:next w:val="Normal"/>
    <w:qFormat/>
    <w:pPr>
      <w:spacing w:before="240" w:after="0"/>
    </w:pPr>
    <w:rPr>
      <w:b/>
      <w:caps/>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NumContinue">
    <w:name w:val="Num Continue"/>
    <w:basedOn w:val="BodyText"/>
    <w:qFormat/>
    <w:pPr>
      <w:spacing w:before="240" w:after="240"/>
      <w:ind w:firstLine="1440" w:start="1307" w:end="0"/>
    </w:pPr>
    <w:rPr/>
  </w:style>
  <w:style w:type="paragraph" w:styleId="MAMergerL1">
    <w:name w:val="MAMerger_L1"/>
    <w:basedOn w:val="Normal"/>
    <w:next w:val="Normal"/>
    <w:qFormat/>
    <w:pPr>
      <w:keepNext w:val="true"/>
      <w:numPr>
        <w:ilvl w:val="0"/>
        <w:numId w:val="3"/>
      </w:numPr>
      <w:spacing w:before="240" w:after="0"/>
      <w:jc w:val="center"/>
      <w:outlineLvl w:val="0"/>
    </w:pPr>
    <w:rPr>
      <w:caps/>
    </w:rPr>
  </w:style>
  <w:style w:type="paragraph" w:styleId="MAMergerL2">
    <w:name w:val="MAMerger_L2"/>
    <w:basedOn w:val="Normal"/>
    <w:next w:val="Normal"/>
    <w:qFormat/>
    <w:pPr>
      <w:numPr>
        <w:ilvl w:val="0"/>
        <w:numId w:val="3"/>
      </w:numPr>
      <w:spacing w:before="240" w:after="0"/>
      <w:outlineLvl w:val="1"/>
    </w:pPr>
    <w:rPr>
      <w:u w:val="single"/>
    </w:rPr>
  </w:style>
  <w:style w:type="paragraph" w:styleId="MAMergerL3">
    <w:name w:val="MAMerger_L3"/>
    <w:basedOn w:val="Normal"/>
    <w:next w:val="Normal"/>
    <w:qFormat/>
    <w:pPr>
      <w:numPr>
        <w:ilvl w:val="0"/>
        <w:numId w:val="3"/>
      </w:numPr>
      <w:spacing w:before="240" w:after="0"/>
      <w:outlineLvl w:val="2"/>
    </w:pPr>
    <w:rPr>
      <w:u w:val="single"/>
    </w:rPr>
  </w:style>
  <w:style w:type="paragraph" w:styleId="MAMergerL4">
    <w:name w:val="MAMerger_L4"/>
    <w:basedOn w:val="Normal"/>
    <w:next w:val="Normal"/>
    <w:qFormat/>
    <w:pPr>
      <w:numPr>
        <w:ilvl w:val="0"/>
        <w:numId w:val="3"/>
      </w:numPr>
      <w:tabs>
        <w:tab w:val="clear" w:pos="720"/>
        <w:tab w:val="left" w:pos="2160" w:leader="none"/>
      </w:tabs>
      <w:spacing w:before="0" w:after="240"/>
      <w:outlineLvl w:val="3"/>
    </w:pPr>
    <w:rPr/>
  </w:style>
  <w:style w:type="paragraph" w:styleId="MAMergerL5">
    <w:name w:val="MAMerger_L5"/>
    <w:basedOn w:val="Normal"/>
    <w:next w:val="Normal"/>
    <w:qFormat/>
    <w:pPr>
      <w:numPr>
        <w:ilvl w:val="0"/>
        <w:numId w:val="3"/>
      </w:numPr>
      <w:spacing w:before="0" w:after="240"/>
      <w:outlineLvl w:val="4"/>
    </w:pPr>
    <w:rPr/>
  </w:style>
  <w:style w:type="paragraph" w:styleId="MAMergerL6">
    <w:name w:val="MAMerger_L6"/>
    <w:basedOn w:val="Normal"/>
    <w:next w:val="Normal"/>
    <w:qFormat/>
    <w:pPr>
      <w:numPr>
        <w:ilvl w:val="0"/>
        <w:numId w:val="3"/>
      </w:numPr>
      <w:spacing w:before="0" w:after="240"/>
    </w:pPr>
    <w:rPr/>
  </w:style>
  <w:style w:type="paragraph" w:styleId="MAMergerL7">
    <w:name w:val="MAMerger_L7"/>
    <w:basedOn w:val="Normal"/>
    <w:next w:val="Normal"/>
    <w:qFormat/>
    <w:pPr>
      <w:numPr>
        <w:ilvl w:val="0"/>
        <w:numId w:val="3"/>
      </w:numPr>
      <w:spacing w:before="0" w:after="240"/>
    </w:pPr>
    <w:rPr/>
  </w:style>
  <w:style w:type="paragraph" w:styleId="MAMergerL8">
    <w:name w:val="MAMerger_L8"/>
    <w:basedOn w:val="Normal"/>
    <w:next w:val="Normal"/>
    <w:qFormat/>
    <w:pPr>
      <w:numPr>
        <w:ilvl w:val="0"/>
        <w:numId w:val="3"/>
      </w:numPr>
      <w:spacing w:before="0" w:after="240"/>
    </w:pPr>
    <w:rPr/>
  </w:style>
  <w:style w:type="paragraph" w:styleId="MAMergerL9">
    <w:name w:val="MAMerger_L9"/>
    <w:basedOn w:val="Normal"/>
    <w:next w:val="Normal"/>
    <w:qFormat/>
    <w:pPr>
      <w:numPr>
        <w:ilvl w:val="0"/>
        <w:numId w:val="3"/>
      </w:numPr>
      <w:spacing w:before="0" w:after="240"/>
    </w:pPr>
    <w:rPr/>
  </w:style>
  <w:style w:type="paragraph" w:styleId="Signature">
    <w:name w:val="Signature"/>
    <w:basedOn w:val="Normal"/>
    <w:pPr>
      <w:ind w:hanging="0" w:start="4320" w:end="0"/>
    </w:pPr>
    <w:rPr/>
  </w:style>
  <w:style w:type="paragraph" w:styleId="s">
    <w:name w:val="s"/>
    <w:basedOn w:val="BodyText"/>
    <w:qFormat/>
    <w:pPr>
      <w:ind w:hanging="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2000-01-20T19:57:00Z</dcterms:created>
  <dc:creator>NSherfield</dc:creator>
  <dc:description/>
  <dc:language>en-CA</dc:language>
  <cp:lastModifiedBy>protmp4</cp:lastModifiedBy>
  <cp:lastPrinted>2000-01-20T16:27:00Z</cp:lastPrinted>
  <dcterms:modified xsi:type="dcterms:W3CDTF">2000-01-20T19:57:00Z</dcterms:modified>
  <cp:revision>3</cp:revision>
  <dc:subject/>
  <dc:title>EXHIBIT A</dc:title>
</cp:coreProperties>
</file>