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B</w:t>
      </w:r>
    </w:p>
    <w:p>
      <w:pPr>
        <w:pStyle w:val="Normal"/>
        <w:spacing w:lineRule="exact" w:line="240"/>
        <w:ind w:end="720"/>
        <w:jc w:val="center"/>
        <w:rPr>
          <w:b/>
        </w:rPr>
      </w:pPr>
      <w:r>
        <w:rPr>
          <w:b/>
        </w:rPr>
      </w:r>
    </w:p>
    <w:p>
      <w:pPr>
        <w:pStyle w:val="Normal"/>
        <w:spacing w:lineRule="exact" w:line="240"/>
        <w:ind w:end="720"/>
        <w:jc w:val="center"/>
        <w:rPr>
          <w:b/>
        </w:rPr>
      </w:pPr>
      <w:r>
        <w:rPr>
          <w:b/>
        </w:rPr>
        <w:t>KELLOGG COMPANY</w:t>
      </w:r>
    </w:p>
    <w:p>
      <w:pPr>
        <w:pStyle w:val="Normal"/>
        <w:ind w:end="720"/>
        <w:jc w:val="center"/>
        <w:rPr>
          <w:b/>
        </w:rPr>
      </w:pPr>
      <w:r>
        <w:rPr>
          <w:b/>
        </w:rPr>
      </w:r>
    </w:p>
    <w:p>
      <w:pPr>
        <w:pStyle w:val="Normal"/>
        <w:spacing w:lineRule="exact" w:line="240"/>
        <w:ind w:end="720"/>
        <w:jc w:val="center"/>
        <w:rPr>
          <w:u w:val="single"/>
        </w:rPr>
      </w:pPr>
      <w:r>
        <w:rPr>
          <w:u w:val="single"/>
        </w:rPr>
        <w:t>Guaranty</w:t>
      </w:r>
    </w:p>
    <w:p>
      <w:pPr>
        <w:pStyle w:val="Normal"/>
        <w:ind w:end="720"/>
        <w:jc w:val="both"/>
        <w:rPr/>
      </w:pPr>
      <w:r>
        <w:rPr/>
      </w:r>
    </w:p>
    <w:p>
      <w:pPr>
        <w:pStyle w:val="Normal"/>
        <w:ind w:end="720"/>
        <w:jc w:val="both"/>
        <w:rPr/>
      </w:pPr>
      <w:r>
        <w:rPr/>
      </w:r>
    </w:p>
    <w:p>
      <w:pPr>
        <w:pStyle w:val="Normal"/>
        <w:spacing w:lineRule="atLeast" w:line="240"/>
        <w:ind w:firstLine="720" w:end="0"/>
        <w:jc w:val="both"/>
        <w:rPr/>
      </w:pPr>
      <w:r>
        <w:rPr/>
        <w:t>This Guaranty Agreement (the "Guaranty"), dated as of [                 ]is made and entered into by, KELLOGG COMPANY ("Guarantor").</w:t>
      </w:r>
    </w:p>
    <w:p>
      <w:pPr>
        <w:pStyle w:val="Normal"/>
        <w:spacing w:lineRule="atLeast" w:line="240"/>
        <w:jc w:val="both"/>
        <w:rPr/>
      </w:pPr>
      <w:r>
        <w:rPr/>
      </w:r>
    </w:p>
    <w:p>
      <w:pPr>
        <w:pStyle w:val="Normal"/>
        <w:keepNext w:val="true"/>
        <w:spacing w:lineRule="atLeast" w:line="240"/>
        <w:jc w:val="center"/>
        <w:rPr>
          <w:b/>
          <w:caps/>
        </w:rPr>
      </w:pPr>
      <w:r>
        <w:rPr>
          <w:b/>
          <w:caps/>
        </w:rPr>
        <w:t>W I T N E S S E T H:</w:t>
      </w:r>
    </w:p>
    <w:p>
      <w:pPr>
        <w:pStyle w:val="Normal"/>
        <w:spacing w:lineRule="atLeast" w:line="240"/>
        <w:jc w:val="both"/>
        <w:rPr>
          <w:b/>
          <w:caps/>
        </w:rPr>
      </w:pPr>
      <w:r>
        <w:rPr>
          <w:b/>
          <w:caps/>
        </w:rPr>
      </w:r>
    </w:p>
    <w:p>
      <w:pPr>
        <w:pStyle w:val="Normal"/>
        <w:spacing w:lineRule="atLeast" w:line="240"/>
        <w:ind w:firstLine="720" w:end="0"/>
        <w:jc w:val="both"/>
        <w:rPr/>
      </w:pPr>
      <w:r>
        <w:rPr/>
        <w:t xml:space="preserve">WHEREAS, KELLOGG SUPPLY SERVICES (EUROPE) LIMITED, a wholly owned subsidiary of Guarantor (“Guaranteed Party”) and </w:t>
      </w:r>
      <w:r>
        <w:rPr>
          <w:caps/>
        </w:rPr>
        <w:t>Enron Capital &amp; Trade Resources INTERNATIONAL Corp.</w:t>
      </w:r>
      <w:r>
        <w:rPr/>
        <w:t xml:space="preserve">, a Delaware corporation (“ECTI”), are contemplating entering into a Master Agreement of even date herewith, a copy of which is attached hereto as </w:t>
      </w:r>
      <w:r>
        <w:rPr>
          <w:u w:val="single"/>
        </w:rPr>
        <w:t>Exhibit A</w:t>
      </w:r>
      <w:r>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Contract to be entered into between ECTI and Guaranteed 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ECTI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1.</w:t>
        <w:tab/>
      </w:r>
      <w:r>
        <w:rPr>
          <w:u w:val="single"/>
        </w:rPr>
        <w:t>GUARANTY</w:t>
      </w:r>
      <w:r>
        <w:rPr/>
        <w:t>.  Subject to the provisions hereof, (a) Guarantor hereby irrevocably and unconditionally guarantees the timely payment when due of the obligations of Guaranteed Party (the “Obligations”) to ECTI under the Contract, and (b) to the extent that Guaranteed Party shall fail to pay any Obligations, Guarantor shall promptly pay to ECTI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hanging="720" w:start="2160" w:end="0"/>
        <w:jc w:val="both"/>
        <w:rPr/>
      </w:pPr>
      <w:r>
        <w:rPr/>
        <w:t>(b)  The aggregate amount covered by this Guaranty shall not exceed $10,000,000.</w:t>
      </w:r>
    </w:p>
    <w:p>
      <w:pPr>
        <w:pStyle w:val="Normal"/>
        <w:spacing w:lineRule="exact" w:line="240" w:before="240" w:after="0"/>
        <w:ind w:firstLine="720" w:end="0"/>
        <w:jc w:val="both"/>
        <w:rPr/>
      </w:pPr>
      <w:r>
        <w:rPr/>
        <w:t xml:space="preserve">This Guaranty shall be a continuing guaranty and it shall remain in full force and effect (subject to Section 6 hereof) and shall be binding upon Guarantor, its successors and permitted assigns, until all amounts payable by Guaranteed Party under the Contract have been validly, finally and irrevocably paid in full. </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If Guaranteed Party fails or refuses to pay any Obligations, ECTI shall notify Guaranteed Party in writing of the manner in which Guaranteed Party has failed to pay and demand that payment be made by Guaranteed Party.  If Guaranteed Party’s failure or refusal to pay continues for a period of fifteen (15) days after the date of ECTI notice to Guaranteed Party, and ECTI has elected to exercise its rights under this Guaranty, ECTI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ECTI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spacing w:lineRule="atLeast" w:line="240"/>
        <w:ind w:firstLine="720" w:end="0"/>
        <w:jc w:val="both"/>
        <w:rPr/>
      </w:pPr>
      <w:r>
        <w:rPr/>
        <w:t xml:space="preserve">3.  </w:t>
      </w:r>
      <w:r>
        <w:rPr>
          <w:u w:val="single"/>
        </w:rPr>
        <w:t>REPRESENTATIONS AND WARRANTIES</w:t>
      </w:r>
      <w:r>
        <w:rPr/>
        <w:t>.  Guarantor represents and warrants that:</w:t>
      </w:r>
    </w:p>
    <w:p>
      <w:pPr>
        <w:pStyle w:val="BodyTextIndent"/>
        <w:rPr/>
      </w:pPr>
      <w:r>
        <w:rPr/>
        <w:t xml:space="preserve">(a)  it is a corporation duly organized and validly existing under the laws of the jurisdiction of its incorporation and has the corporate power and authority to execute, deliver and carry out the terms and provisions of the Guaranty; </w:t>
      </w:r>
    </w:p>
    <w:p>
      <w:pPr>
        <w:pStyle w:val="Normal"/>
        <w:spacing w:lineRule="exact" w:line="240" w:before="240" w:after="0"/>
        <w:ind w:start="72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Guaranteed Party or any other affiliate of Guarantor is or may be entitled to arising from or out of the Contract or otherwise, except for defenses arising out of the bankruptcy, insolvency, dissolution or liquidation of Guaranteed Party.</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ECTI.</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xml:space="preserve">.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ECTI seek enforcement of any performance against Guaranteed Party or any other person, prior to any action against Guarantor under the terms hereof.  </w:t>
      </w:r>
    </w:p>
    <w:p>
      <w:pPr>
        <w:pStyle w:val="Normal"/>
        <w:spacing w:lineRule="atLeast" w:line="240"/>
        <w:ind w:firstLine="720" w:end="0"/>
        <w:jc w:val="both"/>
        <w:rPr/>
      </w:pPr>
      <w:r>
        <w:rPr/>
      </w:r>
    </w:p>
    <w:p>
      <w:pPr>
        <w:pStyle w:val="Normal"/>
        <w:spacing w:lineRule="atLeast" w:line="240"/>
        <w:ind w:firstLine="720" w:end="0"/>
        <w:jc w:val="both"/>
        <w:rPr/>
      </w:pPr>
      <w:r>
        <w:rPr/>
        <w:t xml:space="preserve">Except as to applicable statutes of limitation, no delay of ECTI in the exercise of, or failure to exercise, any rights hereunder shall operate as a waiver of such rights, a waiver of any other rights or a release of Guarantor from any obligations hereunder.  </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ECTI and upon the effectiveness of such termination, Guarantor shall have no further liability hereunder, except as provided in the last sentence of this paragraph.  No such termination shall be effective until five (5) business days after receipt by ECTI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pPr>
      <w:r>
        <w:rPr/>
      </w:r>
    </w:p>
    <w:tbl>
      <w:tblPr>
        <w:tblW w:w="5400" w:type="dxa"/>
        <w:jc w:val="start"/>
        <w:tblInd w:w="0" w:type="dxa"/>
        <w:tblLayout w:type="fixed"/>
        <w:tblCellMar>
          <w:top w:w="0" w:type="dxa"/>
          <w:start w:w="108" w:type="dxa"/>
          <w:bottom w:w="0" w:type="dxa"/>
          <w:end w:w="108" w:type="dxa"/>
        </w:tblCellMar>
      </w:tblPr>
      <w:tblGrid>
        <w:gridCol w:w="1242"/>
        <w:gridCol w:w="4158"/>
      </w:tblGrid>
      <w:tr>
        <w:trPr>
          <w:trHeight w:val="1881" w:hRule="atLeast"/>
        </w:trPr>
        <w:tc>
          <w:tcPr>
            <w:tcW w:w="1242" w:type="dxa"/>
            <w:tcBorders/>
          </w:tcPr>
          <w:p>
            <w:pPr>
              <w:pStyle w:val="Normal"/>
              <w:keepNext w:val="true"/>
              <w:keepLines/>
              <w:spacing w:lineRule="atLeast" w:line="240"/>
              <w:rPr/>
            </w:pPr>
            <w:r>
              <w:rPr/>
              <w:t>To ECTI:</w:t>
            </w:r>
          </w:p>
        </w:tc>
        <w:tc>
          <w:tcPr>
            <w:tcW w:w="4158" w:type="dxa"/>
            <w:tcBorders/>
          </w:tcPr>
          <w:p>
            <w:pPr>
              <w:pStyle w:val="Normal"/>
              <w:tabs>
                <w:tab w:val="clear" w:pos="720"/>
                <w:tab w:val="left" w:pos="4230" w:leader="none"/>
                <w:tab w:val="left" w:pos="9360" w:leader="none"/>
              </w:tabs>
              <w:spacing w:lineRule="exact" w:line="240"/>
              <w:rPr/>
            </w:pPr>
            <w:r>
              <w:rPr/>
              <w:t>Enron Capital &amp; Trade Resources International Corp.</w:t>
            </w:r>
          </w:p>
          <w:p>
            <w:pPr>
              <w:pStyle w:val="Normal"/>
              <w:tabs>
                <w:tab w:val="clear" w:pos="720"/>
                <w:tab w:val="left" w:pos="4230" w:leader="none"/>
                <w:tab w:val="left" w:pos="9360" w:leader="none"/>
              </w:tabs>
              <w:spacing w:lineRule="exact" w:line="240"/>
              <w:jc w:val="both"/>
              <w:rPr/>
            </w:pPr>
            <w:r>
              <w:rPr/>
              <w:t>c/o Enron Europe Finance &amp; Trading Limited</w:t>
            </w:r>
          </w:p>
          <w:p>
            <w:pPr>
              <w:pStyle w:val="Normal"/>
              <w:tabs>
                <w:tab w:val="clear" w:pos="720"/>
                <w:tab w:val="left" w:pos="4230" w:leader="none"/>
                <w:tab w:val="left" w:pos="9360" w:leader="none"/>
              </w:tabs>
              <w:spacing w:lineRule="exact" w:line="240"/>
              <w:jc w:val="both"/>
              <w:rPr/>
            </w:pPr>
            <w:r>
              <w:rPr/>
              <w:t>Enron House</w:t>
            </w:r>
          </w:p>
          <w:p>
            <w:pPr>
              <w:pStyle w:val="Normal"/>
              <w:tabs>
                <w:tab w:val="clear" w:pos="720"/>
                <w:tab w:val="left" w:pos="4230" w:leader="none"/>
                <w:tab w:val="left" w:pos="9360" w:leader="none"/>
              </w:tabs>
              <w:spacing w:lineRule="exact" w:line="240"/>
              <w:jc w:val="both"/>
              <w:rPr/>
            </w:pPr>
            <w:r>
              <w:rPr/>
              <w:t>40 Grosvenor Place</w:t>
            </w:r>
          </w:p>
          <w:p>
            <w:pPr>
              <w:pStyle w:val="Normal"/>
              <w:tabs>
                <w:tab w:val="clear" w:pos="720"/>
                <w:tab w:val="left" w:pos="4230" w:leader="none"/>
                <w:tab w:val="left" w:pos="9360" w:leader="none"/>
              </w:tabs>
              <w:spacing w:lineRule="exact" w:line="240"/>
              <w:jc w:val="both"/>
              <w:rPr/>
            </w:pPr>
            <w:r>
              <w:rPr/>
              <w:t>London  SW1X 7EN</w:t>
            </w:r>
          </w:p>
          <w:p>
            <w:pPr>
              <w:pStyle w:val="Normal"/>
              <w:tabs>
                <w:tab w:val="clear" w:pos="720"/>
                <w:tab w:val="left" w:pos="4230" w:leader="none"/>
                <w:tab w:val="left" w:pos="9360" w:leader="none"/>
              </w:tabs>
              <w:spacing w:lineRule="exact" w:line="240"/>
              <w:rPr/>
            </w:pPr>
            <w:r>
              <w:rPr/>
              <w:t>Attn:  Director, Documentation Department</w:t>
            </w:r>
          </w:p>
        </w:tc>
      </w:tr>
      <w:tr>
        <w:trPr/>
        <w:tc>
          <w:tcPr>
            <w:tcW w:w="1242" w:type="dxa"/>
            <w:tcBorders/>
          </w:tcPr>
          <w:p>
            <w:pPr>
              <w:pStyle w:val="Normal"/>
              <w:keepNext w:val="true"/>
              <w:keepLines/>
              <w:spacing w:lineRule="atLeast" w:line="240"/>
              <w:rPr/>
            </w:pPr>
            <w:r>
              <w:rPr/>
              <w:t>To Guarantor:</w:t>
            </w:r>
          </w:p>
        </w:tc>
        <w:tc>
          <w:tcPr>
            <w:tcW w:w="4158" w:type="dxa"/>
            <w:tcBorders/>
          </w:tcPr>
          <w:p>
            <w:pPr>
              <w:pStyle w:val="Normal"/>
              <w:keepNext w:val="true"/>
              <w:keepLines/>
              <w:tabs>
                <w:tab w:val="clear" w:pos="720"/>
                <w:tab w:val="right" w:pos="2988" w:leader="none"/>
              </w:tabs>
              <w:snapToGrid w:val="false"/>
              <w:spacing w:lineRule="atLeast" w:line="240"/>
              <w:rPr>
                <w:u w:val="single"/>
              </w:rPr>
            </w:pPr>
            <w:r>
              <w:rPr>
                <w:u w:val="single"/>
              </w:rPr>
            </w:r>
          </w:p>
          <w:p>
            <w:pPr>
              <w:pStyle w:val="Normal"/>
              <w:keepNext w:val="true"/>
              <w:keepLines/>
              <w:tabs>
                <w:tab w:val="clear" w:pos="720"/>
                <w:tab w:val="right" w:pos="2988" w:leader="none"/>
              </w:tabs>
              <w:spacing w:lineRule="atLeast" w:line="240"/>
              <w:rPr/>
            </w:pPr>
            <w:r>
              <w:rPr/>
              <w:t>.</w:t>
              <w:tab/>
            </w:r>
          </w:p>
          <w:p>
            <w:pPr>
              <w:pStyle w:val="Normal"/>
              <w:keepNext w:val="true"/>
              <w:keepLines/>
              <w:tabs>
                <w:tab w:val="clear" w:pos="720"/>
                <w:tab w:val="right" w:pos="2988" w:leader="none"/>
              </w:tabs>
              <w:spacing w:lineRule="atLeast" w:line="240"/>
              <w:rPr>
                <w:u w:val="single"/>
              </w:rPr>
            </w:pPr>
            <w:r>
              <w:rPr>
                <w:u w:val="single"/>
              </w:rPr>
              <w:tab/>
            </w:r>
          </w:p>
          <w:p>
            <w:pPr>
              <w:pStyle w:val="Normal"/>
              <w:keepNext w:val="true"/>
              <w:keepLines/>
              <w:tabs>
                <w:tab w:val="clear" w:pos="720"/>
                <w:tab w:val="right" w:pos="2988" w:leader="none"/>
              </w:tabs>
              <w:spacing w:lineRule="atLeast" w:line="240"/>
              <w:rPr/>
            </w:pPr>
            <w:r>
              <w:rPr/>
              <w:t>Attn.:</w:t>
            </w:r>
            <w:r>
              <w:rPr>
                <w:u w:val="single"/>
              </w:rPr>
              <w:tab/>
            </w:r>
          </w:p>
          <w:p>
            <w:pPr>
              <w:pStyle w:val="Normal"/>
              <w:keepNext w:val="true"/>
              <w:keepLines/>
              <w:tabs>
                <w:tab w:val="clear" w:pos="720"/>
                <w:tab w:val="right" w:pos="2988" w:leader="none"/>
              </w:tabs>
              <w:spacing w:lineRule="atLeast" w:line="240"/>
              <w:rPr/>
            </w:pPr>
            <w:r>
              <w:rPr/>
              <w:t>Fax No.:</w:t>
            </w:r>
            <w:r>
              <w:rPr>
                <w:u w:val="single"/>
              </w:rPr>
              <w:tab/>
            </w:r>
          </w:p>
        </w:tc>
      </w:tr>
    </w:tbl>
    <w:p>
      <w:pPr>
        <w:pStyle w:val="Normal"/>
        <w:tabs>
          <w:tab w:val="clear" w:pos="720"/>
          <w:tab w:val="left" w:pos="6480" w:leader="none"/>
        </w:tabs>
        <w:spacing w:lineRule="atLeast" w:line="240"/>
        <w:jc w:val="both"/>
        <w:rPr/>
      </w:pPr>
      <w:r>
        <w:rPr/>
      </w:r>
    </w:p>
    <w:p>
      <w:pPr>
        <w:pStyle w:val="Normal"/>
        <w:tabs>
          <w:tab w:val="clear" w:pos="720"/>
          <w:tab w:val="left" w:pos="6480" w:leader="none"/>
        </w:tabs>
        <w:spacing w:lineRule="atLeast" w:line="240"/>
        <w:jc w:val="both"/>
        <w:rPr/>
      </w:pPr>
      <w:r>
        <w:rPr/>
        <w:t>A copy of any notice sent to ECTI pursuant hereto must also be sent to the above address to  Enron Capital &amp; Trade Resources Corp., (i) Enron Capital &amp; Trade Resources Corp., Attention:  Corporate Secretary at P. O. Box 4428, Houston, Texas  77210-4428 and facsimile no. (713) 853-2534, and (ii) Enron Capital &amp; Trade Resources Corp., Attention:  Assistant General Counsel, Trading Group at P. O. Box 4428, Houston, Texas  77210-4428 and facsimile no. (713) 646-4818.</w:t>
      </w:r>
    </w:p>
    <w:p>
      <w:pPr>
        <w:pStyle w:val="Normal"/>
        <w:spacing w:lineRule="exact" w:line="240"/>
        <w:ind w:start="3600" w:end="72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MISCELLANEOUS</w:t>
      </w:r>
      <w:r>
        <w:rPr/>
        <w:t xml:space="preserve">.  </w:t>
      </w:r>
      <w:r>
        <w:rPr>
          <w:b/>
        </w:rPr>
        <w:t>THIS GUARANTY SHALL IN ALL RESPECTS BE GOVERNED BY, AND CONSTRUED IN ACCORDANCE WITH, THE LAWS OF ENGLAND, AND GUARANTOR AND ECTI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w:t>
      </w:r>
      <w:r>
        <w:rPr/>
        <w:t xml:space="preserve">  This Guaranty shall be binding upon Guarantor, its successors and assigns and inure to the benefit of and be enforceable by ECTI, its successors and assigns.  The Guaranty embodies the entire agreement and understanding between Guarantor and ECTI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pPr>
      <w:r>
        <w:rPr/>
      </w:r>
    </w:p>
    <w:p>
      <w:pPr>
        <w:pStyle w:val="Normal"/>
        <w:spacing w:lineRule="atLeast" w:line="240"/>
        <w:ind w:firstLine="720" w:end="0"/>
        <w:jc w:val="both"/>
        <w:rPr/>
      </w:pPr>
      <w:r>
        <w:rPr/>
        <w:t xml:space="preserve">IN WITNESS WHEREOF, the Guarantor has executed this Guaranty on </w:t>
      </w:r>
      <w:r>
        <w:rPr>
          <w:u w:val="single"/>
        </w:rPr>
        <w:tab/>
        <w:tab/>
      </w:r>
      <w:r>
        <w:rPr/>
        <w:t>, 200_, but it is effective as of the date first above written.</w:t>
      </w:r>
    </w:p>
    <w:p>
      <w:pPr>
        <w:pStyle w:val="Normal"/>
        <w:spacing w:lineRule="atLeast" w:line="240"/>
        <w:jc w:val="both"/>
        <w:rPr>
          <w:b/>
        </w:rPr>
      </w:pPr>
      <w:r>
        <w:rPr>
          <w:b/>
        </w:rPr>
      </w:r>
    </w:p>
    <w:p>
      <w:pPr>
        <w:pStyle w:val="Normal"/>
        <w:spacing w:lineRule="exact" w:line="240"/>
        <w:ind w:start="4536" w:end="0"/>
        <w:rPr>
          <w:b/>
        </w:rPr>
      </w:pPr>
      <w:r>
        <w:rPr>
          <w:b/>
        </w:rPr>
        <w:t>KELLOGG COMPANY</w:t>
      </w:r>
    </w:p>
    <w:p>
      <w:pPr>
        <w:pStyle w:val="Normal"/>
        <w:spacing w:lineRule="exact" w:line="240"/>
        <w:ind w:start="5040" w:end="0"/>
        <w:jc w:val="both"/>
        <w:rPr/>
      </w:pPr>
      <w:r>
        <w:rPr/>
      </w:r>
    </w:p>
    <w:p>
      <w:pPr>
        <w:pStyle w:val="Normal"/>
        <w:spacing w:lineRule="atLeast" w:line="240"/>
        <w:ind w:start="5040" w:end="0"/>
        <w:jc w:val="both"/>
        <w:rPr>
          <w:b/>
        </w:rPr>
      </w:pPr>
      <w:r>
        <w:rPr>
          <w:b/>
        </w:rPr>
      </w:r>
    </w:p>
    <w:p>
      <w:pPr>
        <w:pStyle w:val="Normal"/>
        <w:spacing w:lineRule="atLeast" w:line="240"/>
        <w:ind w:start="4536" w:end="0"/>
        <w:jc w:val="both"/>
        <w:rPr/>
      </w:pPr>
      <w:r>
        <w:rPr/>
        <w:t xml:space="preserve">By:  </w:t>
      </w:r>
      <w:r>
        <w:rPr>
          <w:u w:val="single"/>
        </w:rPr>
        <w:tab/>
        <w:tab/>
        <w:tab/>
        <w:tab/>
        <w:tab/>
        <w:tab/>
      </w:r>
    </w:p>
    <w:p>
      <w:pPr>
        <w:pStyle w:val="Normal"/>
        <w:spacing w:lineRule="atLeast" w:line="240"/>
        <w:ind w:start="4536" w:end="0"/>
        <w:jc w:val="both"/>
        <w:rPr/>
      </w:pPr>
      <w:r>
        <w:rPr/>
        <w:t xml:space="preserve">Name:  </w:t>
      </w:r>
      <w:r>
        <w:rPr>
          <w:u w:val="single"/>
        </w:rPr>
        <w:tab/>
        <w:tab/>
        <w:tab/>
        <w:tab/>
        <w:tab/>
      </w:r>
    </w:p>
    <w:p>
      <w:pPr>
        <w:pStyle w:val="Normal"/>
        <w:spacing w:lineRule="atLeast" w:line="240"/>
        <w:ind w:start="4536" w:end="0"/>
        <w:jc w:val="both"/>
        <w:rPr/>
      </w:pPr>
      <w:r>
        <w:rPr/>
        <w:t xml:space="preserve">Title:  </w:t>
      </w:r>
      <w:r>
        <w:rPr>
          <w:u w:val="single"/>
        </w:rPr>
        <w:tab/>
        <w:tab/>
        <w:tab/>
        <w:tab/>
        <w:tab/>
      </w:r>
    </w:p>
    <w:p>
      <w:pPr>
        <w:pStyle w:val="Header"/>
        <w:tabs>
          <w:tab w:val="clear" w:pos="4153"/>
          <w:tab w:val="clear" w:pos="8306"/>
        </w:tabs>
        <w:rPr>
          <w:u w:val="single"/>
        </w:rPr>
      </w:pPr>
      <w:r>
        <w:rPr>
          <w:u w:val="single"/>
        </w:rPr>
      </w:r>
    </w:p>
    <w:sectPr>
      <w:headerReference w:type="default" r:id="rId2"/>
      <w:footerReference w:type="default" r:id="rId3"/>
      <w:type w:val="nextPage"/>
      <w:pgSz w:w="11906" w:h="16838"/>
      <w:pgMar w:left="1560" w:right="1416" w:gutter="0" w:header="720" w:top="1418" w:footer="720"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/mnt/main-storage/datasets/enron-docs/doc/Kellog_Counterparty_Guaranty_15.05.00_.doc</w:t>
    </w:r>
    <w:r>
      <w:rPr>
        <w:rStyle w:val="PageNumber"/>
        <w:sz w:val="12"/>
        <w:lang w:eastAsia="en-US"/>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15.05.00</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GB"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720"/>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exact" w:line="240" w:before="240" w:after="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2000-05-15T12:23:00Z</dcterms:created>
  <dc:creator>Edmund Cooper</dc:creator>
  <dc:description/>
  <dc:language>en-CA</dc:language>
  <cp:lastModifiedBy>DSitlani</cp:lastModifiedBy>
  <cp:lastPrinted>2000-05-15T16:00:00Z</cp:lastPrinted>
  <dcterms:modified xsi:type="dcterms:W3CDTF">2000-05-15T12:30:00Z</dcterms:modified>
  <cp:revision>5</cp:revision>
  <dc:subject/>
  <dc:title>EXHIBIT [A][B]</dc:title>
</cp:coreProperties>
</file>