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October 11, 1999</w:t>
      </w:r>
    </w:p>
    <w:p>
      <w:pPr>
        <w:pStyle w:val="Normal"/>
        <w:rPr>
          <w:sz w:val="22"/>
        </w:rPr>
      </w:pPr>
      <w:r>
        <w:rPr>
          <w:sz w:val="22"/>
        </w:rPr>
      </w:r>
    </w:p>
    <w:p>
      <w:pPr>
        <w:pStyle w:val="Normal"/>
        <w:rPr>
          <w:sz w:val="22"/>
        </w:rPr>
      </w:pPr>
      <w:r>
        <w:rPr>
          <w:sz w:val="22"/>
        </w:rPr>
      </w:r>
    </w:p>
    <w:p>
      <w:pPr>
        <w:pStyle w:val="Normal"/>
        <w:rPr>
          <w:sz w:val="22"/>
        </w:rPr>
      </w:pPr>
      <w:r>
        <w:rPr>
          <w:sz w:val="22"/>
        </w:rPr>
      </w:r>
    </w:p>
    <w:p>
      <w:pPr>
        <w:pStyle w:val="PlainText"/>
        <w:rPr>
          <w:rFonts w:ascii="Times New Roman" w:hAnsi="Times New Roman" w:cs="Times New Roman"/>
          <w:sz w:val="22"/>
        </w:rPr>
      </w:pPr>
      <w:r>
        <w:rPr>
          <w:rFonts w:cs="Times New Roman" w:ascii="Times New Roman" w:hAnsi="Times New Roman"/>
          <w:sz w:val="22"/>
        </w:rPr>
        <w:t>Mr. Mike Keeling, Contract Specialist</w:t>
      </w:r>
    </w:p>
    <w:p>
      <w:pPr>
        <w:pStyle w:val="PlainText"/>
        <w:rPr>
          <w:rFonts w:ascii="Times New Roman" w:hAnsi="Times New Roman" w:cs="Times New Roman"/>
          <w:sz w:val="22"/>
        </w:rPr>
      </w:pPr>
      <w:r>
        <w:rPr>
          <w:rFonts w:cs="Times New Roman" w:ascii="Times New Roman" w:hAnsi="Times New Roman"/>
          <w:sz w:val="22"/>
        </w:rPr>
        <w:t>AFFTC/PKAD Directorate of Contracting</w:t>
      </w:r>
    </w:p>
    <w:p>
      <w:pPr>
        <w:pStyle w:val="PlainText"/>
        <w:rPr>
          <w:rFonts w:ascii="Times New Roman" w:hAnsi="Times New Roman" w:cs="Times New Roman"/>
          <w:sz w:val="22"/>
        </w:rPr>
      </w:pPr>
      <w:r>
        <w:rPr>
          <w:rFonts w:cs="Times New Roman" w:ascii="Times New Roman" w:hAnsi="Times New Roman"/>
          <w:sz w:val="22"/>
        </w:rPr>
        <w:t>30 N. Wolfe Avenue</w:t>
      </w:r>
    </w:p>
    <w:p>
      <w:pPr>
        <w:pStyle w:val="PlainText"/>
        <w:rPr>
          <w:rFonts w:ascii="Times New Roman" w:hAnsi="Times New Roman" w:cs="Times New Roman"/>
          <w:sz w:val="22"/>
        </w:rPr>
      </w:pPr>
      <w:r>
        <w:rPr>
          <w:rFonts w:cs="Times New Roman" w:ascii="Times New Roman" w:hAnsi="Times New Roman"/>
          <w:sz w:val="22"/>
        </w:rPr>
        <w:t>Edwards Air Force Base, California 93524-6351</w:t>
      </w:r>
    </w:p>
    <w:p>
      <w:pPr>
        <w:pStyle w:val="Normal"/>
        <w:rPr>
          <w:rFonts w:ascii="Times New Roman" w:hAnsi="Times New Roman" w:cs="Times New Roman"/>
          <w:sz w:val="22"/>
        </w:rPr>
      </w:pPr>
      <w:r>
        <w:rPr>
          <w:rFonts w:cs="Times New Roman"/>
          <w:sz w:val="22"/>
        </w:rPr>
      </w:r>
    </w:p>
    <w:p>
      <w:pPr>
        <w:pStyle w:val="Normal"/>
        <w:rPr>
          <w:sz w:val="22"/>
        </w:rPr>
      </w:pPr>
      <w:r>
        <w:rPr>
          <w:sz w:val="22"/>
        </w:rPr>
      </w:r>
    </w:p>
    <w:p>
      <w:pPr>
        <w:pStyle w:val="Normal"/>
        <w:rPr>
          <w:sz w:val="22"/>
        </w:rPr>
      </w:pPr>
      <w:r>
        <w:rPr>
          <w:sz w:val="22"/>
        </w:rPr>
        <w:t>Dear Mike:</w:t>
      </w:r>
    </w:p>
    <w:p>
      <w:pPr>
        <w:pStyle w:val="Normal"/>
        <w:rPr>
          <w:sz w:val="22"/>
        </w:rPr>
      </w:pPr>
      <w:r>
        <w:rPr>
          <w:sz w:val="22"/>
        </w:rPr>
      </w:r>
    </w:p>
    <w:p>
      <w:pPr>
        <w:pStyle w:val="Normal"/>
        <w:rPr>
          <w:sz w:val="22"/>
        </w:rPr>
      </w:pPr>
      <w:r>
        <w:rPr>
          <w:sz w:val="22"/>
        </w:rPr>
        <w:t>In our last telecon, I agreed to provide you some information about our progress with the CPUC regarding Edwards AFB and some information pertinent to similar issues in other venues.</w:t>
      </w:r>
    </w:p>
    <w:p>
      <w:pPr>
        <w:pStyle w:val="Normal"/>
        <w:rPr>
          <w:sz w:val="22"/>
        </w:rPr>
      </w:pPr>
      <w:r>
        <w:rPr>
          <w:sz w:val="22"/>
        </w:rPr>
      </w:r>
    </w:p>
    <w:p>
      <w:pPr>
        <w:pStyle w:val="Normal"/>
        <w:rPr>
          <w:sz w:val="22"/>
        </w:rPr>
      </w:pPr>
      <w:r>
        <w:rPr>
          <w:sz w:val="22"/>
        </w:rPr>
        <w:t>We are currently holding informational meetings with Commission staff and Commissioners.  Our goal for the meetings is two-fold:  1) help the Commission understand how important it is to get clarification with respect to whether winners of DOD base privatizations in California would be subject to state jurisdiction, and 2) work jointly with the Commission to determine the appropriate procedural vehicle for addressing the jurisdictional issue in the most timely and cost-effective manner.  I will keep you apprised of our progress.</w:t>
      </w:r>
    </w:p>
    <w:p>
      <w:pPr>
        <w:pStyle w:val="Normal"/>
        <w:rPr>
          <w:sz w:val="22"/>
        </w:rPr>
      </w:pPr>
      <w:r>
        <w:rPr>
          <w:sz w:val="22"/>
        </w:rPr>
      </w:r>
    </w:p>
    <w:p>
      <w:pPr>
        <w:pStyle w:val="Normal"/>
        <w:rPr>
          <w:sz w:val="22"/>
        </w:rPr>
      </w:pPr>
      <w:r>
        <w:rPr>
          <w:sz w:val="22"/>
        </w:rPr>
        <w:t>We have briefly discussed the ongoing series of events precipitated by the Ft. Carson, CO, privatization.  A chronology of these appears below:</w:t>
      </w:r>
    </w:p>
    <w:p>
      <w:pPr>
        <w:pStyle w:val="Normal"/>
        <w:numPr>
          <w:ilvl w:val="0"/>
          <w:numId w:val="2"/>
        </w:numPr>
        <w:rPr>
          <w:sz w:val="22"/>
        </w:rPr>
      </w:pPr>
      <w:r>
        <w:rPr>
          <w:sz w:val="22"/>
        </w:rPr>
        <w:t xml:space="preserve">Colorado Springs Utilities filed a protest with US Army Engineering &amp; Support Center on 21 May 99. </w:t>
      </w:r>
    </w:p>
    <w:p>
      <w:pPr>
        <w:pStyle w:val="Normal"/>
        <w:numPr>
          <w:ilvl w:val="0"/>
          <w:numId w:val="2"/>
        </w:numPr>
        <w:rPr>
          <w:sz w:val="22"/>
        </w:rPr>
      </w:pPr>
      <w:r>
        <w:rPr>
          <w:sz w:val="22"/>
        </w:rPr>
        <w:t>US Army Engineering &amp; Support Center on 25 June 99 decided to deny in part and dismiss in part the protest.</w:t>
      </w:r>
    </w:p>
    <w:p>
      <w:pPr>
        <w:pStyle w:val="Normal"/>
        <w:numPr>
          <w:ilvl w:val="0"/>
          <w:numId w:val="2"/>
        </w:numPr>
        <w:rPr>
          <w:sz w:val="22"/>
        </w:rPr>
      </w:pPr>
      <w:r>
        <w:rPr>
          <w:sz w:val="22"/>
        </w:rPr>
        <w:t>Colorado Springs Utilities requested a Declaratory Judgement and Preliminary and Permanent Injunctive Relief on 13 Aug 99 in the United States District Court in Colorado.</w:t>
      </w:r>
    </w:p>
    <w:p>
      <w:pPr>
        <w:pStyle w:val="Normal"/>
        <w:numPr>
          <w:ilvl w:val="0"/>
          <w:numId w:val="2"/>
        </w:numPr>
        <w:rPr>
          <w:sz w:val="22"/>
        </w:rPr>
      </w:pPr>
      <w:r>
        <w:rPr>
          <w:sz w:val="22"/>
        </w:rPr>
        <w:t>Enron asked the United States District Court for permission to intervene in the suit in support of the Army on 11 Sept 99.</w:t>
      </w:r>
    </w:p>
    <w:p>
      <w:pPr>
        <w:pStyle w:val="Normal"/>
        <w:numPr>
          <w:ilvl w:val="0"/>
          <w:numId w:val="2"/>
        </w:numPr>
        <w:rPr>
          <w:sz w:val="22"/>
        </w:rPr>
      </w:pPr>
      <w:r>
        <w:rPr>
          <w:sz w:val="22"/>
        </w:rPr>
        <w:t>Enron received permission to intervene on 13 Sept.</w:t>
      </w:r>
    </w:p>
    <w:p>
      <w:pPr>
        <w:pStyle w:val="Normal"/>
        <w:numPr>
          <w:ilvl w:val="0"/>
          <w:numId w:val="2"/>
        </w:numPr>
        <w:rPr>
          <w:sz w:val="22"/>
        </w:rPr>
      </w:pPr>
      <w:r>
        <w:rPr>
          <w:sz w:val="22"/>
        </w:rPr>
        <w:t>The Denver United States Attorney filed a Motion to Dismiss for lack of jurisdiction and the Government's response to the motion for preliminary injunction on 14 Sep 99.</w:t>
      </w:r>
    </w:p>
    <w:p>
      <w:pPr>
        <w:pStyle w:val="Normal"/>
        <w:rPr>
          <w:sz w:val="22"/>
        </w:rPr>
      </w:pPr>
      <w:r>
        <w:rPr>
          <w:sz w:val="22"/>
        </w:rPr>
      </w:r>
    </w:p>
    <w:p>
      <w:pPr>
        <w:pStyle w:val="Normal"/>
        <w:rPr>
          <w:sz w:val="22"/>
        </w:rPr>
      </w:pPr>
      <w:r>
        <w:rPr>
          <w:sz w:val="22"/>
        </w:rPr>
        <w:t>We are currently awaiting the judge's ruling on the Government's motion to dismiss.  Enclosed, for your information are the following documents pertinent to this case:</w:t>
      </w:r>
    </w:p>
    <w:p>
      <w:pPr>
        <w:pStyle w:val="Normal"/>
        <w:numPr>
          <w:ilvl w:val="0"/>
          <w:numId w:val="1"/>
        </w:numPr>
        <w:rPr>
          <w:sz w:val="22"/>
        </w:rPr>
      </w:pPr>
      <w:r>
        <w:rPr>
          <w:sz w:val="22"/>
        </w:rPr>
        <w:t>A copy of the Colorado Springs Utilities' complaint.</w:t>
      </w:r>
    </w:p>
    <w:p>
      <w:pPr>
        <w:pStyle w:val="Normal"/>
        <w:numPr>
          <w:ilvl w:val="0"/>
          <w:numId w:val="1"/>
        </w:numPr>
        <w:rPr>
          <w:sz w:val="22"/>
        </w:rPr>
      </w:pPr>
      <w:r>
        <w:rPr>
          <w:sz w:val="22"/>
        </w:rPr>
        <w:t>A copy of Enron Federal Solution's motion to intervene.</w:t>
      </w:r>
    </w:p>
    <w:p>
      <w:pPr>
        <w:pStyle w:val="Normal"/>
        <w:numPr>
          <w:ilvl w:val="0"/>
          <w:numId w:val="1"/>
        </w:numPr>
        <w:rPr>
          <w:sz w:val="22"/>
        </w:rPr>
      </w:pPr>
      <w:r>
        <w:rPr>
          <w:sz w:val="22"/>
        </w:rPr>
        <w:t>A copy of the Government's motion to dismiss.</w:t>
      </w:r>
    </w:p>
    <w:p>
      <w:pPr>
        <w:sectPr>
          <w:type w:val="nextPage"/>
          <w:pgSz w:w="12240" w:h="15840"/>
          <w:pgMar w:left="1440" w:right="1440" w:gutter="0" w:header="0" w:top="3600" w:footer="0" w:bottom="1440"/>
          <w:pgNumType w:fmt="decimal"/>
          <w:formProt w:val="false"/>
          <w:textDirection w:val="lrTb"/>
          <w:docGrid w:type="default" w:linePitch="360" w:charSpace="0"/>
        </w:sectPr>
      </w:pPr>
    </w:p>
    <w:p>
      <w:pPr>
        <w:pStyle w:val="Normal"/>
        <w:rPr>
          <w:sz w:val="22"/>
        </w:rPr>
      </w:pPr>
      <w:r>
        <w:rPr>
          <w:sz w:val="22"/>
        </w:rPr>
      </w:r>
    </w:p>
    <w:p>
      <w:pPr>
        <w:pStyle w:val="Normal"/>
        <w:rPr>
          <w:sz w:val="22"/>
        </w:rPr>
      </w:pPr>
      <w:r>
        <w:rPr>
          <w:sz w:val="22"/>
        </w:rPr>
        <w:t>Also enclosed is a policy letter the Army has put out on natural gas distribution privatization.  The Army has gone through privatization of six systems, and in every case, bidders have valued them at zero, opting to totally replace the systems rather than accept the liabilities potentially involved in taking over Army systems.</w:t>
      </w:r>
    </w:p>
    <w:p>
      <w:pPr>
        <w:pStyle w:val="Normal"/>
        <w:rPr>
          <w:sz w:val="22"/>
        </w:rPr>
      </w:pPr>
      <w:r>
        <w:rPr>
          <w:sz w:val="22"/>
        </w:rPr>
      </w:r>
    </w:p>
    <w:p>
      <w:pPr>
        <w:pStyle w:val="Normal"/>
        <w:rPr>
          <w:sz w:val="22"/>
        </w:rPr>
      </w:pPr>
      <w:r>
        <w:rPr>
          <w:sz w:val="22"/>
        </w:rPr>
        <w:t>We at Enron Federal Solutions, Inc. are putting together a 'lessons learned' document on our experiences with responding to privatization RFPs and with commenting on privatization RFPs.  I should be able to provide this electronically early next week, if you are interested.</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William G. Gang</w:t>
      </w:r>
    </w:p>
    <w:p>
      <w:pPr>
        <w:pStyle w:val="Normal"/>
        <w:rPr>
          <w:sz w:val="22"/>
        </w:rPr>
      </w:pPr>
      <w:r>
        <w:rPr>
          <w:sz w:val="22"/>
        </w:rPr>
        <w:t>Vice President</w:t>
      </w:r>
    </w:p>
    <w:p>
      <w:pPr>
        <w:pStyle w:val="Normal"/>
        <w:rPr>
          <w:sz w:val="22"/>
        </w:rPr>
      </w:pPr>
      <w:r>
        <w:rPr>
          <w:sz w:val="22"/>
        </w:rPr>
        <w:t>Enron Federal Solutions, Inc.</w:t>
      </w:r>
    </w:p>
    <w:p>
      <w:pPr>
        <w:pStyle w:val="Normal"/>
        <w:rPr>
          <w:sz w:val="22"/>
        </w:rPr>
      </w:pPr>
      <w:r>
        <w:rPr>
          <w:sz w:val="22"/>
        </w:rPr>
      </w:r>
    </w:p>
    <w:p>
      <w:pPr>
        <w:pStyle w:val="Normal"/>
        <w:rPr>
          <w:sz w:val="22"/>
        </w:rPr>
      </w:pPr>
      <w:r>
        <w:rPr>
          <w:sz w:val="22"/>
        </w:rPr>
      </w:r>
    </w:p>
    <w:p>
      <w:pPr>
        <w:pStyle w:val="Normal"/>
        <w:rPr>
          <w:sz w:val="22"/>
        </w:rPr>
      </w:pPr>
      <w:r>
        <w:rPr>
          <w:sz w:val="22"/>
        </w:rPr>
        <w:t>cc:</w:t>
        <w:tab/>
        <w:t>John Lemacks</w:t>
      </w:r>
    </w:p>
    <w:p>
      <w:pPr>
        <w:pStyle w:val="Normal"/>
        <w:rPr>
          <w:vanish/>
          <w:sz w:val="22"/>
        </w:rPr>
      </w:pPr>
      <w:r>
        <w:rPr>
          <w:vanish/>
          <w:sz w:val="22"/>
        </w:rPr>
        <w:t>bcc:</w:t>
        <w:tab/>
        <w:t>Votaw, Dasovich, Frank</w:t>
      </w:r>
    </w:p>
    <w:p>
      <w:pPr>
        <w:pStyle w:val="Normal"/>
        <w:rPr>
          <w:vanish/>
          <w:sz w:val="22"/>
        </w:rPr>
      </w:pPr>
      <w:r>
        <w:rPr>
          <w:vanish/>
          <w:sz w:val="22"/>
        </w:rPr>
      </w:r>
    </w:p>
    <w:p>
      <w:pPr>
        <w:pStyle w:val="Normal"/>
        <w:rPr>
          <w:sz w:val="22"/>
        </w:rPr>
      </w:pPr>
      <w:r>
        <w:rPr>
          <w:sz w:val="22"/>
        </w:rPr>
        <w:t>Enclosure</w:t>
      </w:r>
    </w:p>
    <w:sectPr>
      <w:type w:val="continuous"/>
      <w:pgSz w:w="12240" w:h="15840"/>
      <w:pgMar w:left="1440" w:right="1440" w:gutter="0" w:header="0" w:top="360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color w:val="auto"/>
      </w:rPr>
    </w:lvl>
  </w:abstractNum>
  <w:abstractNum w:abstractNumId="2">
    <w:lvl w:ilvl="0">
      <w:start w:val="1"/>
      <w:numFmt w:val="bullet"/>
      <w:lvlText w:val=""/>
      <w:lvlJc w:val="start"/>
      <w:pPr>
        <w:tabs>
          <w:tab w:val="num" w:pos="360"/>
        </w:tabs>
        <w:ind w:start="360" w:hanging="360"/>
      </w:pPr>
      <w:rPr>
        <w:rFonts w:ascii="Wingdings" w:hAnsi="Wingdings" w:cs="Wingdings" w:hint="default"/>
        <w:color w:val="auto"/>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color w:val="auto"/>
    </w:rPr>
  </w:style>
  <w:style w:type="character" w:styleId="WW8Num2z0">
    <w:name w:val="WW8Num2z0"/>
    <w:qFormat/>
    <w:rPr>
      <w:rFonts w:ascii="Wingdings" w:hAnsi="Wingdings" w:cs="Wingdings"/>
      <w:color w:val="auto"/>
    </w:rPr>
  </w:style>
  <w:style w:type="character" w:styleId="WW8Num3z0">
    <w:name w:val="WW8Num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1999-10-11T18:13:00Z</dcterms:created>
  <dc:creator>nlauzier</dc:creator>
  <dc:description/>
  <dc:language>en-CA</dc:language>
  <cp:lastModifiedBy>nlauzier</cp:lastModifiedBy>
  <cp:lastPrinted>1999-10-11T08:52:00Z</cp:lastPrinted>
  <dcterms:modified xsi:type="dcterms:W3CDTF">1999-10-11T21:01:00Z</dcterms:modified>
  <cp:revision>3</cp:revision>
  <dc:subject/>
  <dc:title>June 16, 1999</dc:title>
</cp:coreProperties>
</file>