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4"/>
        </w:rPr>
      </w:pPr>
      <w:r>
        <w:rPr>
          <w:b/>
          <w:sz w:val="24"/>
        </w:rPr>
        <w:t>Transmission Legislation</w:t>
      </w:r>
    </w:p>
    <w:p>
      <w:pPr>
        <w:pStyle w:val="Normal"/>
        <w:widowControl/>
        <w:jc w:val="center"/>
        <w:rPr>
          <w:b/>
          <w:sz w:val="24"/>
        </w:rPr>
      </w:pPr>
      <w:r>
        <w:rPr>
          <w:b/>
          <w:sz w:val="24"/>
        </w:rPr>
      </w:r>
    </w:p>
    <w:p>
      <w:pPr>
        <w:pStyle w:val="Normal"/>
        <w:widowControl/>
        <w:jc w:val="center"/>
        <w:rPr>
          <w:b/>
          <w:sz w:val="24"/>
        </w:rPr>
      </w:pPr>
      <w:r>
        <w:rPr>
          <w:b/>
          <w:sz w:val="24"/>
        </w:rPr>
        <w:t xml:space="preserve">Paragraphs 201(a) and (b)(1) of the Federal Power Act </w:t>
      </w:r>
    </w:p>
    <w:p>
      <w:pPr>
        <w:pStyle w:val="Normal"/>
        <w:widowControl/>
        <w:jc w:val="center"/>
        <w:rPr>
          <w:b/>
          <w:sz w:val="24"/>
        </w:rPr>
      </w:pPr>
      <w:r>
        <w:rPr>
          <w:b/>
          <w:sz w:val="24"/>
        </w:rPr>
        <w:t>are replaced with the following:</w:t>
      </w:r>
    </w:p>
    <w:p>
      <w:pPr>
        <w:pStyle w:val="Normal"/>
        <w:widowControl/>
        <w:rPr>
          <w:b/>
          <w:sz w:val="24"/>
        </w:rPr>
      </w:pPr>
      <w:r>
        <w:rPr>
          <w:b/>
          <w:sz w:val="24"/>
        </w:rPr>
      </w:r>
    </w:p>
    <w:p>
      <w:pPr>
        <w:pStyle w:val="Normal"/>
        <w:widowControl/>
        <w:jc w:val="both"/>
        <w:rPr>
          <w:sz w:val="24"/>
        </w:rPr>
      </w:pPr>
      <w:r>
        <w:rPr>
          <w:sz w:val="24"/>
        </w:rPr>
        <w:t>Section 201 (a).  It is hereby declared that the business of transmitting and selling electric energy for ultimate distribution to the public is affected with a public interest, and that Federal regulation of matters relating to generation to the extent provided in this Part and the Part next following and, as specifically provided in Section 206, of that part of such business which consists of the transmission of electric energy in interstate commerce, including wholesale transmission services, unbundled retail transmission services, and bundled retail transmission services, as well as the sale of such energy at wholesale in interstate commerce, is necessary in the public interest and to prevent public utilities from interfering with interstate commerce and from jeopardizing the reliability of the interstate bulk power grid by actions that unduly favor their own retail customers at the expense of other retail and wholesale customers.  Such jurisdiction shall not extend, however, to any local distribution service component of any unbundled retail sale of electric energy or to any retail sale component of any unbundled retail sale of electric energy, which are each subject to regulation by the States.  Also, except as otherwise provided in Section 206(i), such jurisdiction shall not extent to the rates for bundled retail transmission service.</w:t>
      </w:r>
    </w:p>
    <w:p>
      <w:pPr>
        <w:pStyle w:val="Normal"/>
        <w:widowControl/>
        <w:jc w:val="both"/>
        <w:rPr>
          <w:sz w:val="24"/>
        </w:rPr>
      </w:pPr>
      <w:r>
        <w:rPr>
          <w:sz w:val="24"/>
        </w:rPr>
      </w:r>
    </w:p>
    <w:p>
      <w:pPr>
        <w:pStyle w:val="Normal"/>
        <w:widowControl/>
        <w:jc w:val="both"/>
        <w:rPr>
          <w:sz w:val="24"/>
        </w:rPr>
      </w:pPr>
      <w:r>
        <w:rPr>
          <w:sz w:val="24"/>
        </w:rPr>
        <w:t>(b)(1).  The provisions of this Part shall apply to the unbundled wholesale and retail transmission in interstate commerce and to the sale of electric energy at wholesale in interstate commerce, to the terms and conditions for bundled retail transmission, and, only in the circumstances described in Section 206(i), to the rates for unbundled retail transmission, but  shall not apply to any other sale of electric energy or deprive a State or State commission of its lawful authority now exercised over the exportation of hydroelectric energy which is transmitted across a State line.  The Commission shall have jurisdiction over all facilities for such unbundled wholesale and retail transmission, for such wholesale sale of electric energy, for the terms and conditions of such bundled retail transmission, and, only in the circumstances described in Section 206(i), for the rates for such bundled retail transmission, but shall not have jurisdiction, except as specifically provided in this Part and the Part next following, over facilities used for the generation of electric energy or over facilities used in local distribution or only for the transmission of electric energy in intrastate commerce, or over facilities for the transmission of electric energy consumed wholly by the transmitter.</w:t>
      </w:r>
    </w:p>
    <w:p>
      <w:pPr>
        <w:pStyle w:val="Normal"/>
        <w:widowControl/>
        <w:jc w:val="both"/>
        <w:rPr>
          <w:sz w:val="24"/>
        </w:rPr>
      </w:pPr>
      <w:r>
        <w:rPr>
          <w:sz w:val="24"/>
        </w:rPr>
      </w:r>
    </w:p>
    <w:p>
      <w:pPr>
        <w:pStyle w:val="Normal"/>
        <w:widowControl/>
        <w:jc w:val="both"/>
        <w:rPr>
          <w:sz w:val="24"/>
        </w:rPr>
      </w:pPr>
      <w:r>
        <w:rPr>
          <w:b/>
          <w:sz w:val="24"/>
        </w:rPr>
        <w:t>Section 206 is amended by adding  new paragraphs (e)-(i) as follows:</w:t>
      </w:r>
    </w:p>
    <w:p>
      <w:pPr>
        <w:pStyle w:val="Normal"/>
        <w:widowControl/>
        <w:jc w:val="both"/>
        <w:rPr>
          <w:sz w:val="24"/>
        </w:rPr>
      </w:pPr>
      <w:r>
        <w:rPr>
          <w:sz w:val="24"/>
        </w:rPr>
      </w:r>
    </w:p>
    <w:p>
      <w:pPr>
        <w:pStyle w:val="Normal"/>
        <w:widowControl/>
        <w:jc w:val="both"/>
        <w:rPr>
          <w:sz w:val="24"/>
        </w:rPr>
      </w:pPr>
      <w:r>
        <w:rPr>
          <w:sz w:val="24"/>
        </w:rPr>
        <w:t>(e)(1).  The Commission shall vigorously enforce the prohibitions in paragraphs 206(a) and (e)(2) against the use by any public utility of its transmission facilities to provide more favorable service to bundled retail transmission service customers than such public utility provides to its wholesale transmission service customers or to its unbundled retail transmission service customers.</w:t>
      </w:r>
    </w:p>
    <w:p>
      <w:pPr>
        <w:pStyle w:val="Normal"/>
        <w:widowControl/>
        <w:jc w:val="both"/>
        <w:rPr>
          <w:b/>
          <w:sz w:val="24"/>
        </w:rPr>
      </w:pPr>
      <w:r>
        <w:rPr>
          <w:b/>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800" w:right="1800" w:gutter="0" w:header="720" w:top="776" w:footer="1200" w:bottom="1256"/>
          <w:pgNumType w:start="1" w:fmt="decimal"/>
          <w:formProt w:val="false"/>
          <w:titlePg/>
          <w:textDirection w:val="lrTb"/>
          <w:docGrid w:type="default" w:linePitch="360" w:charSpace="0"/>
        </w:sectPr>
      </w:pPr>
    </w:p>
    <w:p>
      <w:pPr>
        <w:pStyle w:val="Normal"/>
        <w:widowControl/>
        <w:jc w:val="both"/>
        <w:rPr>
          <w:i/>
          <w:i/>
          <w:sz w:val="24"/>
        </w:rPr>
      </w:pPr>
      <w:r>
        <w:rPr>
          <w:sz w:val="24"/>
        </w:rPr>
        <w:tab/>
        <w:t>(2) No public utility shall charge, observe, or follow any term, condition, rule,</w:t>
      </w:r>
      <w:r>
        <w:rPr>
          <w:b/>
          <w:sz w:val="24"/>
        </w:rPr>
        <w:t xml:space="preserve"> </w:t>
      </w:r>
      <w:r>
        <w:rPr>
          <w:sz w:val="24"/>
        </w:rPr>
        <w:t>regulation or practice for any transmission service which provides for or has the effect of providing or making available less favorable terms, conditions, treatment or service to a   wholesale transmission service customer or an unbundled retail transmission service customer than such utility provides or makes  available to its bundled retail transmission service. No public utility shall charge any rate for unbundled retail transmission service which is higher than the rate such utility charges for similar bundled retail transmission service.  In addition to being subject to the remedies provided in Section 206(a), a public utility which the Commission finds has violated the prohibitions set forth herein shall be subject to the provisions of paragraph (f).</w:t>
      </w:r>
    </w:p>
    <w:p>
      <w:pPr>
        <w:pStyle w:val="Normal"/>
        <w:widowControl/>
        <w:jc w:val="both"/>
        <w:rPr>
          <w:b/>
          <w:i/>
          <w:i/>
          <w:sz w:val="24"/>
        </w:rPr>
      </w:pPr>
      <w:r>
        <w:rPr>
          <w:b/>
          <w:i/>
          <w:sz w:val="24"/>
        </w:rPr>
      </w:r>
    </w:p>
    <w:p>
      <w:pPr>
        <w:sectPr>
          <w:type w:val="continuous"/>
          <w:pgSz w:w="12240" w:h="15840"/>
          <w:pgMar w:left="1800" w:right="1800" w:gutter="0" w:header="720" w:top="776" w:footer="1200" w:bottom="1256"/>
          <w:formProt w:val="false"/>
          <w:titlePg/>
          <w:textDirection w:val="lrTb"/>
          <w:docGrid w:type="default" w:linePitch="360" w:charSpace="0"/>
        </w:sectPr>
      </w:pPr>
    </w:p>
    <w:p>
      <w:pPr>
        <w:pStyle w:val="Normal"/>
        <w:widowControl/>
        <w:numPr>
          <w:ilvl w:val="0"/>
          <w:numId w:val="4"/>
        </w:numPr>
        <w:rPr>
          <w:sz w:val="24"/>
        </w:rPr>
      </w:pPr>
      <w:r>
        <w:rPr>
          <w:sz w:val="24"/>
        </w:rPr>
        <w:t>(1).  Any prohibited action or conduct described in paragraph (e)(2) is conclusively presumed to—</w:t>
      </w:r>
    </w:p>
    <w:p>
      <w:pPr>
        <w:pStyle w:val="Normal"/>
        <w:widowControl/>
        <w:jc w:val="both"/>
        <w:rPr>
          <w:sz w:val="24"/>
        </w:rPr>
      </w:pPr>
      <w:r>
        <w:rPr>
          <w:sz w:val="24"/>
        </w:rPr>
      </w:r>
    </w:p>
    <w:p>
      <w:pPr>
        <w:sectPr>
          <w:type w:val="continuous"/>
          <w:pgSz w:w="12240" w:h="15840"/>
          <w:pgMar w:left="1800" w:right="1800" w:gutter="0" w:header="720" w:top="776" w:footer="1200" w:bottom="1256"/>
          <w:formProt w:val="false"/>
          <w:titlePg/>
          <w:textDirection w:val="lrTb"/>
          <w:docGrid w:type="default" w:linePitch="360" w:charSpace="0"/>
        </w:sectPr>
      </w:pPr>
    </w:p>
    <w:p>
      <w:pPr>
        <w:pStyle w:val="Normal"/>
        <w:widowControl/>
        <w:tabs>
          <w:tab w:val="left" w:pos="720" w:leader="none"/>
          <w:tab w:val="left" w:pos="1440" w:leader="none"/>
        </w:tabs>
        <w:spacing w:before="0" w:after="120"/>
        <w:ind w:hanging="1440" w:start="1440" w:end="0"/>
        <w:jc w:val="both"/>
        <w:rPr>
          <w:sz w:val="24"/>
        </w:rPr>
      </w:pPr>
      <w:r>
        <w:rPr>
          <w:sz w:val="24"/>
        </w:rPr>
        <w:tab/>
        <w:t>(A)</w:t>
        <w:tab/>
        <w:t>constitute an unreasonable restraint of trade and competition in violation of Sections 1 and 2 of the Sherman Act, 15 U.S.C. §§ 1 and 2,  and</w:t>
      </w:r>
    </w:p>
    <w:p>
      <w:pPr>
        <w:pStyle w:val="Normal"/>
        <w:widowControl/>
        <w:numPr>
          <w:ilvl w:val="0"/>
          <w:numId w:val="2"/>
        </w:numPr>
        <w:tabs>
          <w:tab w:val="left" w:pos="720" w:leader="none"/>
        </w:tabs>
        <w:jc w:val="both"/>
        <w:rPr>
          <w:sz w:val="24"/>
        </w:rPr>
      </w:pPr>
      <w:r>
        <w:rPr>
          <w:sz w:val="24"/>
        </w:rPr>
        <w:t>provide the customer or customers affected by such action or conduct with a cause of action for injunctive relief, treble damages, attorneys fees, and any other remedy available under Sections 4 or 16 of the Clayton Act, 15 U.S.C. §§ 15, 26, or Sections 4-6 of the Sherman Act, 15 U.S.C. §§ 4-6.</w:t>
      </w:r>
    </w:p>
    <w:p>
      <w:pPr>
        <w:pStyle w:val="Normal"/>
        <w:widowContro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(g).  No State or State commission shall put into effect any law, regulation, or order which requires a public utility to undertake any of the acts set forth in paragraph (e)(2), and such State law, regulation, or order shall be null and void.</w:t>
      </w:r>
    </w:p>
    <w:p>
      <w:pPr>
        <w:pStyle w:val="Normal"/>
        <w:widowContro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(h).  No public utility otherwise subject to the remedies or penalties, or both, prescribed in paragraph (e) may assert or claim a defense based on the State action doctrine to any antitrust cause of action brought against it pursuant to paragraph (f).</w:t>
      </w:r>
    </w:p>
    <w:p>
      <w:pPr>
        <w:pStyle w:val="Normal"/>
        <w:widowContro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(i)(1).  Upon the Commission’s issuance of orders finding that a public utility has committed two or more separate acts which violate the prohibitions in paragraph (e), jurisdiction over the rates for bundled retail transmission service provided by such public utility shall be transferred to the Commission.  In addition, such public utility shall be subject to any remedy available under paragraph (f) of this Section.</w:t>
      </w:r>
    </w:p>
    <w:p>
      <w:pPr>
        <w:pStyle w:val="BodyText"/>
        <w:widowControl/>
        <w:jc w:val="both"/>
        <w:rPr>
          <w:sz w:val="24"/>
        </w:rPr>
      </w:pPr>
      <w:r>
        <w:rPr>
          <w:sz w:val="24"/>
        </w:rPr>
      </w:r>
    </w:p>
    <w:p>
      <w:pPr>
        <w:pStyle w:val="Normal"/>
        <w:widowControl/>
        <w:numPr>
          <w:ilvl w:val="0"/>
          <w:numId w:val="3"/>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ind w:hanging="389" w:start="1167" w:end="0"/>
        <w:jc w:val="both"/>
        <w:rPr>
          <w:sz w:val="24"/>
        </w:rPr>
      </w:pPr>
      <w:r>
        <w:rPr>
          <w:sz w:val="24"/>
        </w:rPr>
        <w:t>Any public utility may submit a written request for the Commission to assert jurisdiction over the rates for its unbundled transmission service. Unless a State commission with jurisdiction over the retail rates of such utility  files a protest or intervention opposing such transfer of jurisdiction within 60 days of such filing, the Commission shall, within 120 days of the submission of the utility’s written request, assume jurisdiction over unbundled transmission provided by such public utility.</w:t>
      </w:r>
    </w:p>
    <w:p>
      <w:pPr>
        <w:pStyle w:val="Normal"/>
        <w:widowControl/>
        <w:numPr>
          <w:ilvl w:val="0"/>
          <w:numId w:val="3"/>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ind w:hanging="389" w:start="1167" w:end="0"/>
        <w:jc w:val="both"/>
        <w:rPr>
          <w:sz w:val="24"/>
        </w:rPr>
      </w:pPr>
      <w:r>
        <w:rPr>
          <w:sz w:val="24"/>
        </w:rPr>
        <w:t>Following the transfer to the Commission of jurisdiction over a public utility’s rates for unbundled transmission service pursuant to subparagraph (2), such public utility shall not be subject to the provisions of paragraph (f).</w:t>
      </w:r>
    </w:p>
    <w:p>
      <w:pPr>
        <w:pStyle w:val="BodyText"/>
        <w:widowControl/>
        <w:jc w:val="both"/>
        <w:rPr>
          <w:sz w:val="24"/>
        </w:rPr>
      </w:pPr>
      <w:r>
        <w:rPr>
          <w:sz w:val="24"/>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jc w:val="both"/>
        <w:rPr>
          <w:sz w:val="24"/>
        </w:rPr>
      </w:pPr>
      <w:r>
        <w:rPr>
          <w:b/>
          <w:sz w:val="24"/>
        </w:rPr>
        <w:t>The following definitions are added to Section 3:</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sz w:val="24"/>
        </w:rPr>
      </w:pPr>
      <w:r>
        <w:rPr>
          <w:sz w:val="24"/>
        </w:rPr>
        <w:t xml:space="preserve">(26) “Retail customer” means a customer who purchases electric energy from a public utility for its own consumption.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sz w:val="24"/>
        </w:rPr>
      </w:pPr>
      <w:r>
        <w:rPr>
          <w:sz w:val="24"/>
        </w:rPr>
        <w:t>(27)“Wholesale customer” means a customer who purchases electric energy for sale to another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sz w:val="24"/>
        </w:rPr>
      </w:pPr>
      <w:r>
        <w:rPr>
          <w:sz w:val="24"/>
        </w:rPr>
        <w:t>(28) “Bundled transmission service” means transmission service in which the electric energy and transmission services are not sold separately.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sz w:val="24"/>
        </w:rPr>
      </w:pPr>
      <w:r>
        <w:rPr>
          <w:sz w:val="24"/>
        </w:rPr>
        <w:t>(29) “Unbundled transmission service” means transmission service in which the electric energy and transmission services are sold separately.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sz w:val="24"/>
        </w:rPr>
      </w:pPr>
      <w:r>
        <w:rPr>
          <w:sz w:val="24"/>
        </w:rPr>
      </w:r>
    </w:p>
    <w:p>
      <w:pPr>
        <w:sectPr>
          <w:type w:val="continuous"/>
          <w:pgSz w:w="12240" w:h="15840"/>
          <w:pgMar w:left="1800" w:right="1800" w:gutter="0" w:header="720" w:top="776" w:footer="1200" w:bottom="1256"/>
          <w:formProt w:val="false"/>
          <w:titlePg/>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pPr>
      <w:r>
        <w:rPr/>
        <w:t xml:space="preserve">(30) “State action doctrine” means the doctrine articulated in </w:t>
      </w:r>
      <w:r>
        <w:rPr>
          <w:sz w:val="24"/>
          <w:u w:val="single"/>
        </w:rPr>
        <w:t>Parker v. Brown</w:t>
      </w:r>
      <w:r>
        <w:rPr>
          <w:sz w:val="24"/>
        </w:rPr>
        <w:t xml:space="preserve">, 317 U.S. 341 (1943) and subsequent cases, which immunizes certain actions   from antitrust liability because the defendant’s conduct was authorized or required and actively supervised by a </w:t>
      </w:r>
      <w:bookmarkStart w:id="0" w:name="BM_1_"/>
      <w:bookmarkEnd w:id="0"/>
      <w:r>
        <w:rPr>
          <w:sz w:val="24"/>
        </w:rPr>
        <w:t>state or agency thereof.</w:t>
      </w:r>
    </w:p>
    <w:sectPr>
      <w:type w:val="continuous"/>
      <w:pgSz w:w="12240" w:h="15840"/>
      <w:pgMar w:left="1800" w:right="1800" w:gutter="0" w:header="720" w:top="776" w:footer="1200" w:bottom="125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firstLine="360" w:end="360"/>
      <w:rPr>
        <w:sz w:val="16"/>
      </w:rPr>
    </w:pPr>
    <w:r>
      <w:rPr>
        <w:sz w:val="16"/>
      </w:rPr>
      <w:t>#73084v3DC</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#73084v3DC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1440"/>
        </w:tabs>
        <w:ind w:start="1440" w:hanging="720"/>
      </w:pPr>
      <w:rPr/>
    </w:lvl>
  </w:abstractNum>
  <w:abstractNum w:abstractNumId="3">
    <w:lvl w:ilvl="0">
      <w:start w:val="2"/>
      <w:numFmt w:val="decimal"/>
      <w:lvlText w:val="(%1)"/>
      <w:lvlJc w:val="start"/>
      <w:pPr>
        <w:tabs>
          <w:tab w:val="num" w:pos="1170"/>
        </w:tabs>
        <w:ind w:start="1170" w:hanging="390"/>
      </w:pPr>
      <w:rPr/>
    </w:lvl>
  </w:abstractNum>
  <w:abstractNum w:abstractNumId="4">
    <w:lvl w:ilvl="0">
      <w:start w:val="6"/>
      <w:numFmt w:val="lowerLetter"/>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1"/>
      <w:numFmt w:val="lowerRoman"/>
      <w:lvlText w:val="%9"/>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numPr>
        <w:ilvl w:val="0"/>
        <w:numId w:val="1"/>
      </w:numPr>
      <w:outlineLvl w:val="0"/>
    </w:pPr>
    <w:rPr>
      <w:sz w:val="28"/>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DefaultPara">
    <w:name w:val="Default Para"/>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s>
    </w:pPr>
    <w:rPr>
      <w:sz w:val="24"/>
    </w:rPr>
  </w:style>
  <w:style w:type="paragraph" w:styleId="Footer">
    <w:name w:val="footer"/>
    <w:basedOn w:val="Normal"/>
    <w:pPr>
      <w:tabs>
        <w:tab w:val="clear" w:pos="720"/>
        <w:tab w:val="left" w:pos="0" w:leader="none"/>
        <w:tab w:val="center" w:pos="4320" w:leader="none"/>
        <w:tab w:val="right" w:pos="8640" w:leader="none"/>
      </w:tabs>
    </w:pPr>
    <w:rPr>
      <w:sz w:val="24"/>
    </w:rPr>
  </w:style>
  <w:style w:type="paragraph" w:styleId="BodyTextIndent">
    <w:name w:val="Body Text Indent"/>
    <w:basedOn w:val="Normal"/>
    <w:pPr/>
    <w:rPr>
      <w:sz w:val="24"/>
    </w:rPr>
  </w:style>
  <w:style w:type="paragraph" w:styleId="BodyTextIndent2">
    <w:name w:val="Body Text Indent 2"/>
    <w:basedOn w:val="Normal"/>
    <w:qFormat/>
    <w:pPr>
      <w:widowControl/>
      <w:tabs>
        <w:tab w:val="left" w:pos="720" w:leader="none"/>
        <w:tab w:val="left" w:pos="1440" w:leader="none"/>
      </w:tabs>
      <w:ind w:hanging="1440" w:start="1440" w:end="0"/>
      <w:jc w:val="both"/>
    </w:pPr>
    <w:rPr>
      <w:b/>
      <w:sz w:val="24"/>
    </w:rPr>
  </w:style>
  <w:style w:type="paragraph" w:styleId="FrameContents">
    <w:name w:val="Frame Contents"/>
    <w:basedOn w:val="Normal"/>
    <w:qFormat/>
    <w:pPr/>
    <w:rPr/>
  </w:style>
  <w:style w:type="paragraph" w:styleId="HeaderLeft">
    <w:name w:val="Header Left"/>
    <w:basedOn w:val="Header"/>
    <w:qFormat/>
    <w:pPr>
      <w:suppressLineNumbers/>
      <w:tabs>
        <w:tab w:val="clear" w:pos="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2000-03-17T16:12:00Z</dcterms:created>
  <dc:creator>Beth May</dc:creator>
  <dc:description>Antitrust Amendment to Electric Industry Restructuring Legislation</dc:description>
  <dc:language>en-CA</dc:language>
  <cp:lastModifiedBy>Vinson &amp; Elkins L.L.P.</cp:lastModifiedBy>
  <cp:lastPrinted>2000-03-17T11:10:00Z</cp:lastPrinted>
  <dcterms:modified xsi:type="dcterms:W3CDTF">2000-03-17T16:12:00Z</dcterms:modified>
  <cp:revision>2</cp:revision>
  <dc:subject/>
  <dc:title>Transmission Legislation</dc:title>
</cp:coreProperties>
</file>