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w Cen MT" w:hAnsi="Tw Cen MT" w:cs="Tahoma"/>
          <w:u w:val="single"/>
        </w:rPr>
      </w:pPr>
      <w:r>
        <w:rPr>
          <w:rFonts w:cs="Tahoma" w:ascii="Tw Cen MT" w:hAnsi="Tw Cen MT"/>
          <w:u w:val="single"/>
        </w:rPr>
        <w:t>CALL MEMO FOR STEVE KEAN</w:t>
      </w:r>
    </w:p>
    <w:p>
      <w:pPr>
        <w:pStyle w:val="Normal"/>
        <w:rPr>
          <w:rFonts w:ascii="Tw Cen MT" w:hAnsi="Tw Cen MT" w:cs="Tahoma"/>
        </w:rPr>
      </w:pPr>
      <w:r>
        <w:rPr>
          <w:rFonts w:cs="Tahoma" w:ascii="Tw Cen MT" w:hAnsi="Tw Cen MT"/>
        </w:rPr>
        <w:t>May 25, 2001</w:t>
      </w:r>
    </w:p>
    <w:p>
      <w:pPr>
        <w:pStyle w:val="Normal"/>
        <w:jc w:val="both"/>
        <w:rPr>
          <w:rFonts w:ascii="Tw Cen MT" w:hAnsi="Tw Cen MT" w:cs="Tahoma"/>
        </w:rPr>
      </w:pPr>
      <w:r>
        <w:rPr>
          <w:rFonts w:cs="Tahoma" w:ascii="Tw Cen MT" w:hAnsi="Tw Cen MT"/>
        </w:rPr>
      </w:r>
    </w:p>
    <w:p>
      <w:pPr>
        <w:pStyle w:val="Normal"/>
        <w:jc w:val="both"/>
        <w:rPr/>
      </w:pPr>
      <w:r>
        <w:rPr>
          <w:rFonts w:cs="Tahoma" w:ascii="Tw Cen MT" w:hAnsi="Tw Cen MT"/>
          <w:b/>
          <w:bCs/>
        </w:rPr>
        <w:t>FROM</w:t>
      </w:r>
      <w:r>
        <w:rPr>
          <w:rFonts w:cs="Tahoma" w:ascii="Tw Cen MT" w:hAnsi="Tw Cen MT"/>
        </w:rPr>
        <w:t xml:space="preserve">: </w:t>
        <w:tab/>
        <w:t>Chris Long</w:t>
      </w:r>
    </w:p>
    <w:p>
      <w:pPr>
        <w:pStyle w:val="Normal"/>
        <w:jc w:val="both"/>
        <w:rPr>
          <w:rFonts w:ascii="Tw Cen MT" w:hAnsi="Tw Cen MT" w:cs="Tahoma"/>
        </w:rPr>
      </w:pPr>
      <w:r>
        <w:rPr>
          <w:rFonts w:cs="Tahoma" w:ascii="Tw Cen MT" w:hAnsi="Tw Cen MT"/>
        </w:rPr>
      </w:r>
    </w:p>
    <w:p>
      <w:pPr>
        <w:pStyle w:val="Normal"/>
        <w:jc w:val="both"/>
        <w:rPr/>
      </w:pPr>
      <w:r>
        <w:rPr>
          <w:rFonts w:cs="Tahoma" w:ascii="Tw Cen MT" w:hAnsi="Tw Cen MT"/>
          <w:b/>
          <w:bCs/>
        </w:rPr>
        <w:t>CC:</w:t>
        <w:tab/>
        <w:tab/>
      </w:r>
      <w:r>
        <w:rPr>
          <w:rFonts w:cs="Tahoma" w:ascii="Tw Cen MT" w:hAnsi="Tw Cen MT"/>
        </w:rPr>
        <w:t>Linda L. Robertson, Lisa Yoho</w:t>
      </w:r>
    </w:p>
    <w:p>
      <w:pPr>
        <w:pStyle w:val="Normal"/>
        <w:jc w:val="both"/>
        <w:rPr>
          <w:rFonts w:ascii="Tw Cen MT" w:hAnsi="Tw Cen MT" w:cs="Tahoma"/>
        </w:rPr>
      </w:pPr>
      <w:r>
        <w:rPr>
          <w:rFonts w:cs="Tahoma" w:ascii="Tw Cen MT" w:hAnsi="Tw Cen MT"/>
        </w:rPr>
      </w:r>
    </w:p>
    <w:p>
      <w:pPr>
        <w:pStyle w:val="Normal"/>
        <w:jc w:val="both"/>
        <w:rPr/>
      </w:pPr>
      <w:r>
        <w:rPr>
          <w:rFonts w:cs="Tahoma" w:ascii="Tw Cen MT" w:hAnsi="Tw Cen MT"/>
          <w:b/>
          <w:bCs/>
        </w:rPr>
        <w:t>SUBJECT</w:t>
      </w:r>
      <w:r>
        <w:rPr>
          <w:rFonts w:cs="Tahoma" w:ascii="Tw Cen MT" w:hAnsi="Tw Cen MT"/>
        </w:rPr>
        <w:t>:</w:t>
        <w:tab/>
        <w:t>Recommend calls to:</w:t>
      </w:r>
    </w:p>
    <w:p>
      <w:pPr>
        <w:pStyle w:val="Normal"/>
        <w:numPr>
          <w:ilvl w:val="2"/>
          <w:numId w:val="2"/>
        </w:numPr>
        <w:jc w:val="both"/>
        <w:rPr>
          <w:rFonts w:ascii="Tw Cen MT" w:hAnsi="Tw Cen MT" w:cs="Tahoma"/>
        </w:rPr>
      </w:pPr>
      <w:r>
        <w:rPr>
          <w:rFonts w:cs="Tahoma" w:ascii="Tw Cen MT" w:hAnsi="Tw Cen MT"/>
        </w:rPr>
        <w:t>Deputy Treasury Secretary (N) Ken Damn (202-622-1080)</w:t>
      </w:r>
    </w:p>
    <w:p>
      <w:pPr>
        <w:pStyle w:val="Normal"/>
        <w:numPr>
          <w:ilvl w:val="2"/>
          <w:numId w:val="2"/>
        </w:numPr>
        <w:jc w:val="both"/>
        <w:rPr>
          <w:rFonts w:ascii="Tw Cen MT" w:hAnsi="Tw Cen MT" w:cs="Tahoma"/>
        </w:rPr>
      </w:pPr>
      <w:r>
        <w:rPr>
          <w:rFonts w:cs="Tahoma" w:ascii="Tw Cen MT" w:hAnsi="Tw Cen MT"/>
        </w:rPr>
        <w:t>USTR Chief of Staff M.B. Ogelsby (202-395-8787)</w:t>
      </w:r>
    </w:p>
    <w:p>
      <w:pPr>
        <w:pStyle w:val="Normal"/>
        <w:numPr>
          <w:ilvl w:val="2"/>
          <w:numId w:val="2"/>
        </w:numPr>
        <w:jc w:val="both"/>
        <w:rPr>
          <w:rFonts w:ascii="Tw Cen MT" w:hAnsi="Tw Cen MT" w:cs="Tahoma"/>
        </w:rPr>
      </w:pPr>
      <w:r>
        <w:rPr>
          <w:rFonts w:cs="Tahoma" w:ascii="Tw Cen MT" w:hAnsi="Tw Cen MT"/>
        </w:rPr>
        <w:t>Dep. Asst. to the President for International Economic Policy (NEC) Gary Edson (202-456-2800)</w:t>
      </w:r>
    </w:p>
    <w:p>
      <w:pPr>
        <w:pStyle w:val="Normal"/>
        <w:numPr>
          <w:ilvl w:val="2"/>
          <w:numId w:val="2"/>
        </w:numPr>
        <w:jc w:val="both"/>
        <w:rPr>
          <w:rFonts w:ascii="Tw Cen MT" w:hAnsi="Tw Cen MT" w:cs="Tahoma"/>
        </w:rPr>
      </w:pPr>
      <w:r>
        <w:rPr>
          <w:rFonts w:cs="Tahoma" w:ascii="Tw Cen MT" w:hAnsi="Tw Cen MT"/>
        </w:rPr>
        <w:t>Deputy Commerce Secretary (N) Samuel Bodman (202-485-8376)</w:t>
      </w:r>
    </w:p>
    <w:p>
      <w:pPr>
        <w:pStyle w:val="Normal"/>
        <w:jc w:val="both"/>
        <w:rPr>
          <w:rFonts w:ascii="Tw Cen MT" w:hAnsi="Tw Cen MT" w:cs="Tahoma"/>
        </w:rPr>
      </w:pPr>
      <w:r>
        <w:rPr>
          <w:rFonts w:cs="Tahoma" w:ascii="Tw Cen MT" w:hAnsi="Tw Cen MT"/>
        </w:rPr>
      </w:r>
    </w:p>
    <w:p>
      <w:pPr>
        <w:pStyle w:val="Heading2"/>
        <w:ind w:hanging="0" w:start="0"/>
        <w:jc w:val="both"/>
        <w:rPr>
          <w:rFonts w:ascii="Tw Cen MT" w:hAnsi="Tw Cen MT" w:cs="Tahoma"/>
        </w:rPr>
      </w:pPr>
      <w:r>
        <w:rPr>
          <w:rFonts w:cs="Tahoma" w:ascii="Tw Cen MT" w:hAnsi="Tw Cen MT"/>
        </w:rPr>
        <w:t>Background</w:t>
      </w:r>
    </w:p>
    <w:p>
      <w:pPr>
        <w:pStyle w:val="Normal"/>
        <w:jc w:val="both"/>
        <w:rPr>
          <w:rFonts w:ascii="Tw Cen MT" w:hAnsi="Tw Cen MT" w:cs="Tahoma"/>
        </w:rPr>
      </w:pPr>
      <w:r>
        <w:rPr>
          <w:rFonts w:cs="Tahoma" w:ascii="Tw Cen MT" w:hAnsi="Tw Cen MT"/>
        </w:rPr>
        <w:t>The Bush Administration is reviewing their options with respect to the steel industry, including the possibility of requesting the U.S. International Trade Commission to undertake a Section 201 investigation on imports of certain types of carbon flat-rolled steel products.</w:t>
      </w:r>
    </w:p>
    <w:p>
      <w:pPr>
        <w:pStyle w:val="Normal"/>
        <w:jc w:val="both"/>
        <w:rPr>
          <w:rFonts w:ascii="Tw Cen MT" w:hAnsi="Tw Cen MT" w:cs="Tahoma"/>
        </w:rPr>
      </w:pPr>
      <w:r>
        <w:rPr>
          <w:rFonts w:cs="Tahoma" w:ascii="Tw Cen MT" w:hAnsi="Tw Cen MT"/>
        </w:rPr>
      </w:r>
    </w:p>
    <w:p>
      <w:pPr>
        <w:pStyle w:val="Normal"/>
        <w:jc w:val="both"/>
        <w:rPr>
          <w:rFonts w:ascii="Tw Cen MT" w:hAnsi="Tw Cen MT" w:cs="Tahoma"/>
        </w:rPr>
      </w:pPr>
      <w:r>
        <w:rPr>
          <w:rFonts w:cs="Tahoma" w:ascii="Tw Cen MT" w:hAnsi="Tw Cen MT"/>
        </w:rPr>
        <w:t>The steel unions, Members of the Congressional Steel Caucus, and some in the steel industry are calling for the President to initiate a 201 investigation on steel. Pressure from these groups has heightened in recent weeks, including a meeting on March 21, 2001 with steel-state legislators and Secretaries Evans and O’Neill and USTR Zoellick.</w:t>
      </w:r>
    </w:p>
    <w:p>
      <w:pPr>
        <w:pStyle w:val="Normal"/>
        <w:jc w:val="both"/>
        <w:rPr>
          <w:rFonts w:ascii="Tw Cen MT" w:hAnsi="Tw Cen MT" w:cs="Tahoma"/>
        </w:rPr>
      </w:pPr>
      <w:r>
        <w:rPr>
          <w:rFonts w:cs="Tahoma" w:ascii="Tw Cen MT" w:hAnsi="Tw Cen MT"/>
        </w:rPr>
      </w:r>
    </w:p>
    <w:p>
      <w:pPr>
        <w:pStyle w:val="Normal"/>
        <w:jc w:val="both"/>
        <w:rPr>
          <w:rFonts w:ascii="Tw Cen MT" w:hAnsi="Tw Cen MT" w:cs="Tahoma"/>
        </w:rPr>
      </w:pPr>
      <w:r>
        <w:rPr>
          <w:rFonts w:cs="Tahoma" w:ascii="Tw Cen MT" w:hAnsi="Tw Cen MT"/>
        </w:rPr>
        <w:t>Enron is involved in the campaign to oppose the 201 investigation and has joined with the Consuming Industries Trade Act Coalition (CITAC), Emergency Coalition on American Trade (ECAT), and the National Foreign Trade Council (NFTC) to oppose 201.</w:t>
      </w:r>
    </w:p>
    <w:p>
      <w:pPr>
        <w:pStyle w:val="Normal"/>
        <w:jc w:val="both"/>
        <w:rPr>
          <w:rFonts w:cs="Tahoma"/>
        </w:rPr>
      </w:pPr>
      <w:r>
        <w:rPr>
          <w:rFonts w:eastAsia="Tw Cen MT" w:cs="Tw Cen MT" w:ascii="Tw Cen MT" w:hAnsi="Tw Cen MT"/>
        </w:rPr>
        <w:t xml:space="preserve"> </w:t>
      </w:r>
    </w:p>
    <w:p>
      <w:pPr>
        <w:pStyle w:val="Normal"/>
        <w:jc w:val="both"/>
        <w:rPr>
          <w:rFonts w:ascii="Tw Cen MT" w:hAnsi="Tw Cen MT" w:cs="Tahoma"/>
        </w:rPr>
      </w:pPr>
      <w:r>
        <w:rPr>
          <w:rFonts w:cs="Tahoma" w:ascii="Tw Cen MT" w:hAnsi="Tw Cen MT"/>
        </w:rPr>
        <w:t>As you know, Enron’s Steel Group has been trading steel as a commodity since August 2000, as well as offering customized risk management and financial products for steel producers and end-users.  Additionally, EnronOnline currently offers market participants the real-time transaction tools and information to create a transparent marketplace for steel products.</w:t>
      </w:r>
    </w:p>
    <w:p>
      <w:pPr>
        <w:pStyle w:val="Normal"/>
        <w:jc w:val="both"/>
        <w:rPr>
          <w:rFonts w:ascii="Tw Cen MT" w:hAnsi="Tw Cen MT" w:cs="Tahoma"/>
        </w:rPr>
      </w:pPr>
      <w:r>
        <w:rPr>
          <w:rFonts w:cs="Tahoma" w:ascii="Tw Cen MT" w:hAnsi="Tw Cen MT"/>
        </w:rPr>
      </w:r>
    </w:p>
    <w:p>
      <w:pPr>
        <w:pStyle w:val="Normal"/>
        <w:jc w:val="both"/>
        <w:rPr>
          <w:rFonts w:ascii="Tw Cen MT" w:hAnsi="Tw Cen MT" w:cs="Tahoma"/>
        </w:rPr>
      </w:pPr>
      <w:r>
        <w:rPr>
          <w:rFonts w:cs="Tahoma" w:ascii="Tw Cen MT" w:hAnsi="Tw Cen MT"/>
        </w:rPr>
        <w:t>Enron is opposed to proposals, like Section 201, that would restrict the free flow of fairly traded goods.</w:t>
      </w:r>
    </w:p>
    <w:p>
      <w:pPr>
        <w:pStyle w:val="Normal"/>
        <w:jc w:val="both"/>
        <w:rPr>
          <w:rFonts w:ascii="Tw Cen MT" w:hAnsi="Tw Cen MT" w:cs="Tahoma"/>
        </w:rPr>
      </w:pPr>
      <w:r>
        <w:rPr>
          <w:rFonts w:cs="Tahoma" w:ascii="Tw Cen MT" w:hAnsi="Tw Cen MT"/>
        </w:rPr>
      </w:r>
    </w:p>
    <w:p>
      <w:pPr>
        <w:pStyle w:val="Normal"/>
        <w:jc w:val="both"/>
        <w:rPr>
          <w:rFonts w:ascii="Tw Cen MT" w:hAnsi="Tw Cen MT" w:cs="Tahoma"/>
        </w:rPr>
      </w:pPr>
      <w:r>
        <w:rPr>
          <w:rFonts w:cs="Tahoma" w:ascii="Tw Cen MT" w:hAnsi="Tw Cen MT"/>
        </w:rPr>
        <w:t xml:space="preserve">We recommend you call the listed government officials and weigh-in on the potential Section 201 as well as share with them Enron’s concerns.  </w:t>
      </w:r>
    </w:p>
    <w:p>
      <w:pPr>
        <w:pStyle w:val="Normal"/>
        <w:jc w:val="both"/>
        <w:rPr>
          <w:rFonts w:ascii="Tw Cen MT" w:hAnsi="Tw Cen MT" w:cs="Tahoma"/>
        </w:rPr>
      </w:pPr>
      <w:r>
        <w:rPr>
          <w:rFonts w:cs="Tahoma" w:ascii="Tw Cen MT" w:hAnsi="Tw Cen MT"/>
        </w:rPr>
      </w:r>
    </w:p>
    <w:p>
      <w:pPr>
        <w:pStyle w:val="Normal"/>
        <w:jc w:val="both"/>
        <w:rPr>
          <w:rFonts w:ascii="Tw Cen MT" w:hAnsi="Tw Cen MT" w:cs="Tahoma"/>
        </w:rPr>
      </w:pPr>
      <w:r>
        <w:rPr>
          <w:rFonts w:cs="Tahoma" w:ascii="Tw Cen MT" w:hAnsi="Tw Cen MT"/>
        </w:rPr>
        <w:t>History and talking points follow.</w:t>
      </w:r>
    </w:p>
    <w:p>
      <w:pPr>
        <w:pStyle w:val="Normal"/>
        <w:jc w:val="both"/>
        <w:rPr>
          <w:rFonts w:ascii="Tw Cen MT" w:hAnsi="Tw Cen MT" w:cs="Tahoma"/>
        </w:rPr>
      </w:pPr>
      <w:r>
        <w:rPr>
          <w:rFonts w:cs="Tahoma" w:ascii="Tw Cen MT" w:hAnsi="Tw Cen MT"/>
        </w:rPr>
      </w:r>
    </w:p>
    <w:p>
      <w:pPr>
        <w:pStyle w:val="Normal"/>
        <w:jc w:val="both"/>
        <w:rPr/>
      </w:pPr>
      <w:r>
        <w:rPr>
          <w:rFonts w:cs="Tahoma" w:ascii="Tw Cen MT" w:hAnsi="Tw Cen MT"/>
          <w:b/>
          <w:bCs/>
        </w:rPr>
        <w:t>Attachments</w:t>
      </w:r>
      <w:r>
        <w:rPr>
          <w:rFonts w:cs="Tahoma" w:ascii="Tw Cen MT" w:hAnsi="Tw Cen MT"/>
        </w:rPr>
        <w:t xml:space="preserve">: </w:t>
        <w:tab/>
        <w:t>Section 201 Backgrounder</w:t>
      </w:r>
    </w:p>
    <w:p>
      <w:pPr>
        <w:pStyle w:val="Normal"/>
        <w:jc w:val="both"/>
        <w:rPr>
          <w:rFonts w:ascii="Tw Cen MT" w:hAnsi="Tw Cen MT" w:cs="Tahoma"/>
        </w:rPr>
      </w:pPr>
      <w:r>
        <w:rPr>
          <w:rFonts w:cs="Tahoma" w:ascii="Tw Cen MT" w:hAnsi="Tw Cen MT"/>
        </w:rPr>
        <w:tab/>
        <w:tab/>
        <w:t>Talking Points</w:t>
      </w:r>
      <w:r>
        <w:br w:type="page"/>
      </w:r>
    </w:p>
    <w:p>
      <w:pPr>
        <w:pStyle w:val="Normal"/>
        <w:jc w:val="both"/>
        <w:rPr>
          <w:rFonts w:ascii="Tw Cen MT" w:hAnsi="Tw Cen MT" w:cs="Tahoma"/>
        </w:rPr>
      </w:pPr>
      <w:r>
        <w:rPr>
          <w:rFonts w:cs="Tahoma" w:ascii="Tw Cen MT" w:hAnsi="Tw Cen MT"/>
        </w:rPr>
        <w:t>(Backgrounder)</w:t>
      </w:r>
    </w:p>
    <w:p>
      <w:pPr>
        <w:pStyle w:val="Normal"/>
        <w:jc w:val="both"/>
        <w:rPr>
          <w:rFonts w:ascii="Tw Cen MT" w:hAnsi="Tw Cen MT" w:cs="Tahoma"/>
          <w:b/>
          <w:bCs/>
          <w:u w:val="single"/>
        </w:rPr>
      </w:pPr>
      <w:r>
        <w:rPr>
          <w:rFonts w:cs="Tahoma" w:ascii="Tw Cen MT" w:hAnsi="Tw Cen MT"/>
          <w:b/>
          <w:bCs/>
          <w:u w:val="single"/>
        </w:rPr>
      </w:r>
    </w:p>
    <w:p>
      <w:pPr>
        <w:pStyle w:val="Normal"/>
        <w:jc w:val="both"/>
        <w:rPr>
          <w:rFonts w:ascii="Tw Cen MT" w:hAnsi="Tw Cen MT" w:cs="Tahoma"/>
          <w:b/>
          <w:bCs/>
          <w:u w:val="single"/>
        </w:rPr>
      </w:pPr>
      <w:r>
        <w:rPr>
          <w:rFonts w:cs="Tahoma" w:ascii="Tw Cen MT" w:hAnsi="Tw Cen MT"/>
          <w:b/>
          <w:bCs/>
          <w:u w:val="single"/>
        </w:rPr>
        <w:t xml:space="preserve">§201 </w:t>
      </w:r>
    </w:p>
    <w:p>
      <w:pPr>
        <w:pStyle w:val="Normal"/>
        <w:suppressAutoHyphens w:val="true"/>
        <w:jc w:val="both"/>
        <w:rPr>
          <w:rFonts w:ascii="Tw Cen MT" w:hAnsi="Tw Cen MT" w:cs="Tahoma"/>
          <w:bCs/>
        </w:rPr>
      </w:pPr>
      <w:r>
        <w:rPr>
          <w:rFonts w:cs="Tahoma" w:ascii="Tw Cen MT" w:hAnsi="Tw Cen MT"/>
          <w:bCs/>
          <w:smallCaps/>
        </w:rPr>
        <w:t>Section 201: "Escape Clause"</w:t>
      </w:r>
    </w:p>
    <w:p>
      <w:pPr>
        <w:pStyle w:val="Normal"/>
        <w:suppressAutoHyphens w:val="true"/>
        <w:jc w:val="both"/>
        <w:rPr>
          <w:rFonts w:ascii="Tw Cen MT" w:hAnsi="Tw Cen MT" w:cs="Tahoma"/>
          <w:bCs/>
        </w:rPr>
      </w:pPr>
      <w:r>
        <w:rPr>
          <w:rFonts w:cs="Tahoma" w:ascii="Tw Cen MT" w:hAnsi="Tw Cen MT"/>
          <w:bCs/>
        </w:rPr>
        <w:t>19 U.S.C. § 2251-2253</w:t>
      </w:r>
    </w:p>
    <w:p>
      <w:pPr>
        <w:pStyle w:val="Normal"/>
        <w:suppressAutoHyphens w:val="true"/>
        <w:jc w:val="both"/>
        <w:rPr>
          <w:rFonts w:ascii="Tw Cen MT" w:hAnsi="Tw Cen MT" w:cs="Tahoma"/>
          <w:bCs/>
        </w:rPr>
      </w:pPr>
      <w:r>
        <w:rPr>
          <w:rFonts w:cs="Tahoma" w:ascii="Tw Cen MT" w:hAnsi="Tw Cen MT"/>
          <w:bCs/>
        </w:rPr>
      </w:r>
    </w:p>
    <w:p>
      <w:pPr>
        <w:pStyle w:val="Normal"/>
        <w:suppressAutoHyphens w:val="true"/>
        <w:jc w:val="both"/>
        <w:rPr/>
      </w:pPr>
      <w:r>
        <w:rPr>
          <w:rFonts w:cs="Tahoma" w:ascii="Tw Cen MT" w:hAnsi="Tw Cen MT"/>
          <w:b/>
        </w:rPr>
        <w:t>Purpose:</w:t>
      </w:r>
      <w:r>
        <w:rPr>
          <w:rFonts w:cs="Tahoma" w:ascii="Tw Cen MT" w:hAnsi="Tw Cen MT"/>
        </w:rPr>
        <w:tab/>
        <w:t xml:space="preserve">Section 201 of the Trade Act of 1974, as amended, gives the President the authority to provide temporary relief from import competition to a domestic industry that has been seriously injured by increased imports.  </w:t>
      </w:r>
    </w:p>
    <w:p>
      <w:pPr>
        <w:pStyle w:val="Normal"/>
        <w:suppressAutoHyphens w:val="true"/>
        <w:jc w:val="both"/>
        <w:rPr>
          <w:rFonts w:ascii="Tw Cen MT" w:hAnsi="Tw Cen MT" w:cs="Tahoma"/>
        </w:rPr>
      </w:pPr>
      <w:r>
        <w:rPr>
          <w:rFonts w:cs="Tahoma" w:ascii="Tw Cen MT" w:hAnsi="Tw Cen MT"/>
        </w:rPr>
      </w:r>
    </w:p>
    <w:p>
      <w:pPr>
        <w:pStyle w:val="Normal"/>
        <w:suppressAutoHyphens w:val="true"/>
        <w:jc w:val="both"/>
        <w:rPr/>
      </w:pPr>
      <w:r>
        <w:rPr>
          <w:rFonts w:cs="Tahoma" w:ascii="Tw Cen MT" w:hAnsi="Tw Cen MT"/>
          <w:b/>
        </w:rPr>
        <w:t>Process:</w:t>
      </w:r>
      <w:r>
        <w:rPr>
          <w:rFonts w:cs="Tahoma" w:ascii="Tw Cen MT" w:hAnsi="Tw Cen MT"/>
        </w:rPr>
        <w:t xml:space="preserve"> A section 201 investigation may be initiated by the filing of a petition by an entity representative of an industry, (including a trade association, firm, union or group of workers), or by a request from the Senate Finance Committee, the House Ways &amp; Means Committee, or the President, or on the U. S. International Trade Commission's ("ITC's") own initiative.  The petition must include a statement setting forth the specific purpose for which relief is being sought.  The ITC will typically complete its investigation within 120 days from the filing of the petition, or the receipt of the request, although it may extend the deadline to 150 days if the investigation is extraordinarily complicated.  </w:t>
      </w:r>
    </w:p>
    <w:p>
      <w:pPr>
        <w:pStyle w:val="Normal"/>
        <w:suppressAutoHyphens w:val="true"/>
        <w:jc w:val="both"/>
        <w:rPr>
          <w:rFonts w:ascii="Tw Cen MT" w:hAnsi="Tw Cen MT" w:cs="Tahoma"/>
        </w:rPr>
      </w:pPr>
      <w:r>
        <w:rPr>
          <w:rFonts w:cs="Tahoma" w:ascii="Tw Cen MT" w:hAnsi="Tw Cen MT"/>
        </w:rPr>
      </w:r>
    </w:p>
    <w:p>
      <w:pPr>
        <w:pStyle w:val="Normal"/>
        <w:suppressAutoHyphens w:val="true"/>
        <w:jc w:val="both"/>
        <w:rPr/>
      </w:pPr>
      <w:r>
        <w:rPr>
          <w:rFonts w:cs="Tahoma" w:ascii="Tw Cen MT" w:hAnsi="Tw Cen MT"/>
          <w:b/>
        </w:rPr>
        <w:t xml:space="preserve">Standard: </w:t>
      </w:r>
      <w:r>
        <w:rPr>
          <w:rFonts w:cs="Tahoma" w:ascii="Tw Cen MT" w:hAnsi="Tw Cen MT"/>
        </w:rPr>
        <w:t>The ITC conducts its investigation to determine whether an article is being imported in such increased quantities as to be a substantial cause of serious injury, or threat, to the domestic industry producing a similar or competitive product.  "Substantial cause" means a cause which is important and not less than any other cause.  A public hearing is required during the course of the ITC's investigation.</w:t>
      </w:r>
    </w:p>
    <w:p>
      <w:pPr>
        <w:pStyle w:val="Normal"/>
        <w:suppressAutoHyphens w:val="true"/>
        <w:jc w:val="both"/>
        <w:rPr>
          <w:rFonts w:ascii="Tw Cen MT" w:hAnsi="Tw Cen MT" w:cs="Tahoma"/>
        </w:rPr>
      </w:pPr>
      <w:r>
        <w:rPr>
          <w:rFonts w:cs="Tahoma" w:ascii="Tw Cen MT" w:hAnsi="Tw Cen MT"/>
        </w:rPr>
      </w:r>
    </w:p>
    <w:p>
      <w:pPr>
        <w:pStyle w:val="Normal"/>
        <w:suppressAutoHyphens w:val="true"/>
        <w:jc w:val="both"/>
        <w:rPr>
          <w:rFonts w:ascii="Tw Cen MT" w:hAnsi="Tw Cen MT" w:cs="Tahoma"/>
        </w:rPr>
      </w:pPr>
      <w:r>
        <w:rPr>
          <w:rFonts w:cs="Tahoma" w:ascii="Tw Cen MT" w:hAnsi="Tw Cen MT"/>
        </w:rPr>
        <w:t>In considering the question of injury to the domestic industry, the ITC must consider 1) the significant idling of domestic production capacity; 2) the inability of a significant number of domestic firms to operate at a reasonable profit margin; and 3) significant unemployment or underemployment in the domestic industry.  In considering whether the imports pose a threat to the domestic industry, the ITC will consider 1) any decline in sales or market share, increasing levels of inventory, declining production, profits, wages or employment; 2) the inability of domestic firms to generate adequate capital to modernize or to maintain existing levels of research and development expenditures; and 3) whether the imports are diverted to the United States due to trade restraints in third countries.</w:t>
      </w:r>
    </w:p>
    <w:p>
      <w:pPr>
        <w:pStyle w:val="Normal"/>
        <w:suppressAutoHyphens w:val="true"/>
        <w:jc w:val="both"/>
        <w:rPr>
          <w:rFonts w:ascii="Tw Cen MT" w:hAnsi="Tw Cen MT" w:cs="Tahoma"/>
        </w:rPr>
      </w:pPr>
      <w:r>
        <w:rPr>
          <w:rFonts w:cs="Tahoma" w:ascii="Tw Cen MT" w:hAnsi="Tw Cen MT"/>
        </w:rPr>
      </w:r>
    </w:p>
    <w:p>
      <w:pPr>
        <w:pStyle w:val="Normal"/>
        <w:suppressAutoHyphens w:val="true"/>
        <w:jc w:val="both"/>
        <w:rPr/>
      </w:pPr>
      <w:r>
        <w:rPr>
          <w:rFonts w:cs="Tahoma" w:ascii="Tw Cen MT" w:hAnsi="Tw Cen MT"/>
          <w:b/>
        </w:rPr>
        <w:t xml:space="preserve">Remedy: </w:t>
      </w:r>
      <w:r>
        <w:rPr>
          <w:rFonts w:cs="Tahoma" w:ascii="Tw Cen MT" w:hAnsi="Tw Cen MT"/>
        </w:rPr>
        <w:t xml:space="preserve">If the Commission determines that there is serious injury or threat of serious injury, it will recommend a remedy to the President.  That remedy can comprise the imposition of, or an increase in, the duty rate, a tariff rate quota, the modification or imposition of any quantitative restriction, assistance to the domestic industry, or any combination of the above.  This recommendation is transmitted to the President, who can reject it, adopt it, or modify it by increasing or decreasing the severity of the proposed relief.  </w:t>
      </w:r>
      <w:r>
        <w:br w:type="page"/>
      </w:r>
    </w:p>
    <w:p>
      <w:pPr>
        <w:pStyle w:val="Heading2"/>
        <w:ind w:hanging="0" w:start="0"/>
        <w:jc w:val="both"/>
        <w:rPr>
          <w:rFonts w:ascii="Tw Cen MT" w:hAnsi="Tw Cen MT" w:cs="Tw Cen MT"/>
        </w:rPr>
      </w:pPr>
      <w:r>
        <w:rPr>
          <w:rFonts w:cs="Tw Cen MT" w:ascii="Tw Cen MT" w:hAnsi="Tw Cen MT"/>
        </w:rPr>
        <w:t>Talking Points</w:t>
      </w:r>
    </w:p>
    <w:p>
      <w:pPr>
        <w:pStyle w:val="Normal"/>
        <w:jc w:val="both"/>
        <w:rPr>
          <w:rFonts w:ascii="Tw Cen MT" w:hAnsi="Tw Cen MT" w:cs="Tw Cen MT"/>
        </w:rPr>
      </w:pPr>
      <w:r>
        <w:rPr>
          <w:rFonts w:cs="Tw Cen MT" w:ascii="Tw Cen MT" w:hAnsi="Tw Cen MT"/>
        </w:rPr>
      </w:r>
    </w:p>
    <w:p>
      <w:pPr>
        <w:pStyle w:val="Normal"/>
        <w:numPr>
          <w:ilvl w:val="0"/>
          <w:numId w:val="3"/>
        </w:numPr>
        <w:jc w:val="both"/>
        <w:rPr>
          <w:rFonts w:ascii="Tw Cen MT" w:hAnsi="Tw Cen MT" w:cs="Tw Cen MT"/>
        </w:rPr>
      </w:pPr>
      <w:r>
        <w:rPr>
          <w:rFonts w:cs="Tw Cen MT" w:ascii="Tw Cen MT" w:hAnsi="Tw Cen MT"/>
        </w:rPr>
        <w:t xml:space="preserve">In August 2000, Enron’s Steel Group began trading steel as a commodity, as well as offering customized risk management and financial products for steel producers and end-users.  EnronOnline currently offers market participants the real-time transaction tools and information to create a transparent marketplace for steel products.  </w:t>
      </w:r>
    </w:p>
    <w:p>
      <w:pPr>
        <w:pStyle w:val="Normal"/>
        <w:ind w:start="360" w:end="0"/>
        <w:jc w:val="both"/>
        <w:rPr>
          <w:rFonts w:ascii="Tw Cen MT" w:hAnsi="Tw Cen MT" w:cs="Tw Cen MT"/>
        </w:rPr>
      </w:pPr>
      <w:r>
        <w:rPr>
          <w:rFonts w:cs="Tw Cen MT" w:ascii="Tw Cen MT" w:hAnsi="Tw Cen MT"/>
        </w:rPr>
      </w:r>
    </w:p>
    <w:p>
      <w:pPr>
        <w:pStyle w:val="Normal"/>
        <w:numPr>
          <w:ilvl w:val="0"/>
          <w:numId w:val="3"/>
        </w:numPr>
        <w:jc w:val="both"/>
        <w:rPr>
          <w:rFonts w:ascii="Tw Cen MT" w:hAnsi="Tw Cen MT" w:cs="Tw Cen MT"/>
        </w:rPr>
      </w:pPr>
      <w:r>
        <w:rPr>
          <w:rFonts w:cs="Tw Cen MT" w:ascii="Tw Cen MT" w:hAnsi="Tw Cen MT"/>
        </w:rPr>
        <w:t>We understand that the Administration is reviewing its options with respect to the steel industry, including the possibility of requesting the U.S. International Trade Commission to undertake a Section 201 investigation on imports of certain types steel products.</w:t>
      </w:r>
    </w:p>
    <w:p>
      <w:pPr>
        <w:pStyle w:val="Normal"/>
        <w:jc w:val="both"/>
        <w:rPr>
          <w:rFonts w:ascii="Tw Cen MT" w:hAnsi="Tw Cen MT" w:cs="Tw Cen MT"/>
        </w:rPr>
      </w:pPr>
      <w:r>
        <w:rPr>
          <w:rFonts w:cs="Tw Cen MT" w:ascii="Tw Cen MT" w:hAnsi="Tw Cen MT"/>
        </w:rPr>
      </w:r>
    </w:p>
    <w:p>
      <w:pPr>
        <w:pStyle w:val="Normal"/>
        <w:numPr>
          <w:ilvl w:val="0"/>
          <w:numId w:val="3"/>
        </w:numPr>
        <w:jc w:val="both"/>
        <w:rPr>
          <w:rFonts w:ascii="Tw Cen MT" w:hAnsi="Tw Cen MT" w:cs="Tw Cen MT"/>
        </w:rPr>
      </w:pPr>
      <w:r>
        <w:rPr>
          <w:rFonts w:cs="Tw Cen MT" w:ascii="Tw Cen MT" w:hAnsi="Tw Cen MT"/>
        </w:rPr>
        <w:t xml:space="preserve">Enron opposes proposals -- like Section 201 -- that seek to restrict the free flow of fairly traded goods. </w:t>
      </w:r>
    </w:p>
    <w:p>
      <w:pPr>
        <w:pStyle w:val="Normal"/>
        <w:jc w:val="both"/>
        <w:rPr>
          <w:rFonts w:ascii="Tw Cen MT" w:hAnsi="Tw Cen MT" w:cs="Tw Cen MT"/>
        </w:rPr>
      </w:pPr>
      <w:r>
        <w:rPr>
          <w:rFonts w:cs="Tw Cen MT" w:ascii="Tw Cen MT" w:hAnsi="Tw Cen MT"/>
        </w:rPr>
      </w:r>
    </w:p>
    <w:p>
      <w:pPr>
        <w:pStyle w:val="Normal"/>
        <w:numPr>
          <w:ilvl w:val="0"/>
          <w:numId w:val="3"/>
        </w:numPr>
        <w:jc w:val="both"/>
        <w:rPr>
          <w:rFonts w:ascii="Tw Cen MT" w:hAnsi="Tw Cen MT" w:cs="Tw Cen MT"/>
        </w:rPr>
      </w:pPr>
      <w:r>
        <w:rPr>
          <w:rFonts w:cs="Tw Cen MT" w:ascii="Tw Cen MT" w:hAnsi="Tw Cen MT"/>
        </w:rPr>
        <w:t xml:space="preserve">If restrictions are put in place under Section 201, they may have the effect of shutting new competitors out of the steel market. </w:t>
      </w:r>
    </w:p>
    <w:p>
      <w:pPr>
        <w:pStyle w:val="Normal"/>
        <w:ind w:start="360" w:end="0"/>
        <w:jc w:val="both"/>
        <w:rPr>
          <w:rFonts w:ascii="Tw Cen MT" w:hAnsi="Tw Cen MT" w:cs="Tw Cen MT"/>
        </w:rPr>
      </w:pPr>
      <w:r>
        <w:rPr>
          <w:rFonts w:cs="Tw Cen MT" w:ascii="Tw Cen MT" w:hAnsi="Tw Cen MT"/>
        </w:rPr>
      </w:r>
    </w:p>
    <w:p>
      <w:pPr>
        <w:pStyle w:val="Normal"/>
        <w:numPr>
          <w:ilvl w:val="0"/>
          <w:numId w:val="4"/>
        </w:numPr>
        <w:jc w:val="both"/>
        <w:rPr>
          <w:rFonts w:ascii="Tw Cen MT" w:hAnsi="Tw Cen MT" w:cs="Tw Cen MT"/>
        </w:rPr>
      </w:pPr>
      <w:r>
        <w:rPr>
          <w:rFonts w:cs="Tw Cen MT" w:ascii="Tw Cen MT" w:hAnsi="Tw Cen MT"/>
        </w:rPr>
        <w:t>Quotas on steel have a negative impact on employment in the steel consuming industry.  Consuming industries are found in every state of the Union and employ 50 Americans for every one steelworker.  A recent study by the Consuming Industries Trade Action Coalition (CITAC) found that if quotas are imposed twice as many as workers in the steel consuming industry (9,500) would lose their jobs as would be protected in the steel industry (4,200).</w:t>
      </w:r>
    </w:p>
    <w:p>
      <w:pPr>
        <w:pStyle w:val="Normal"/>
        <w:jc w:val="both"/>
        <w:rPr>
          <w:rFonts w:ascii="Tw Cen MT" w:hAnsi="Tw Cen MT" w:cs="Tw Cen MT"/>
        </w:rPr>
      </w:pPr>
      <w:r>
        <w:rPr>
          <w:rFonts w:cs="Tw Cen MT" w:ascii="Tw Cen MT" w:hAnsi="Tw Cen MT"/>
        </w:rPr>
      </w:r>
    </w:p>
    <w:p>
      <w:pPr>
        <w:pStyle w:val="Normal"/>
        <w:numPr>
          <w:ilvl w:val="0"/>
          <w:numId w:val="3"/>
        </w:numPr>
        <w:jc w:val="both"/>
        <w:rPr>
          <w:rFonts w:ascii="Tw Cen MT" w:hAnsi="Tw Cen MT" w:cs="Tw Cen MT"/>
        </w:rPr>
      </w:pPr>
      <w:r>
        <w:rPr>
          <w:rFonts w:cs="Tw Cen MT" w:ascii="Tw Cen MT" w:hAnsi="Tw Cen MT"/>
        </w:rPr>
        <w:t>Protectionism is bad public policy for other reasons:</w:t>
      </w:r>
    </w:p>
    <w:p>
      <w:pPr>
        <w:pStyle w:val="Normal"/>
        <w:numPr>
          <w:ilvl w:val="1"/>
          <w:numId w:val="3"/>
        </w:numPr>
        <w:jc w:val="both"/>
        <w:rPr>
          <w:rFonts w:ascii="Tw Cen MT" w:hAnsi="Tw Cen MT" w:cs="Tw Cen MT"/>
        </w:rPr>
      </w:pPr>
      <w:r>
        <w:rPr>
          <w:rFonts w:cs="Tw Cen MT" w:ascii="Tw Cen MT" w:hAnsi="Tw Cen MT"/>
        </w:rPr>
        <w:t>It sends the wrong signals to other countries - at a critical time in trade negotiations with China, Russia and other trading partners</w:t>
      </w:r>
    </w:p>
    <w:p>
      <w:pPr>
        <w:pStyle w:val="Normal"/>
        <w:numPr>
          <w:ilvl w:val="1"/>
          <w:numId w:val="3"/>
        </w:numPr>
        <w:jc w:val="both"/>
        <w:rPr>
          <w:rFonts w:ascii="Tw Cen MT" w:hAnsi="Tw Cen MT" w:cs="Tw Cen MT"/>
        </w:rPr>
      </w:pPr>
      <w:r>
        <w:rPr>
          <w:rFonts w:cs="Tw Cen MT" w:ascii="Tw Cen MT" w:hAnsi="Tw Cen MT"/>
        </w:rPr>
        <w:t>It could result in retaliation measures from our trading partners, which is of considerable concern in the agriculture and lumber sectors.</w:t>
      </w:r>
    </w:p>
    <w:p>
      <w:pPr>
        <w:pStyle w:val="Normal"/>
        <w:numPr>
          <w:ilvl w:val="1"/>
          <w:numId w:val="3"/>
        </w:numPr>
        <w:jc w:val="both"/>
        <w:rPr>
          <w:rFonts w:ascii="Tw Cen MT" w:hAnsi="Tw Cen MT" w:cs="Tw Cen MT"/>
        </w:rPr>
      </w:pPr>
      <w:r>
        <w:rPr>
          <w:rFonts w:cs="Tw Cen MT" w:ascii="Tw Cen MT" w:hAnsi="Tw Cen MT"/>
        </w:rPr>
        <w:t xml:space="preserve">It protects a handful of companies at the expense of many other US-based, steel consuming companies.  </w:t>
      </w:r>
    </w:p>
    <w:p>
      <w:pPr>
        <w:pStyle w:val="Normal"/>
        <w:numPr>
          <w:ilvl w:val="1"/>
          <w:numId w:val="3"/>
        </w:numPr>
        <w:jc w:val="both"/>
        <w:rPr>
          <w:rFonts w:ascii="Tw Cen MT" w:hAnsi="Tw Cen MT" w:cs="Tw Cen MT"/>
        </w:rPr>
      </w:pPr>
      <w:r>
        <w:rPr>
          <w:rFonts w:cs="Tw Cen MT" w:ascii="Tw Cen MT" w:hAnsi="Tw Cen MT"/>
        </w:rPr>
        <w:t>It will increase prices to household consumers just as they are seeking to adjust to a slowing economy.</w:t>
      </w:r>
    </w:p>
    <w:p>
      <w:pPr>
        <w:pStyle w:val="Normal"/>
        <w:jc w:val="both"/>
        <w:rPr>
          <w:rFonts w:ascii="Tw Cen MT" w:hAnsi="Tw Cen MT" w:cs="Tw Cen MT"/>
        </w:rPr>
      </w:pPr>
      <w:r>
        <w:rPr>
          <w:rFonts w:cs="Tw Cen MT" w:ascii="Tw Cen MT" w:hAnsi="Tw Cen MT"/>
        </w:rPr>
      </w:r>
    </w:p>
    <w:p>
      <w:pPr>
        <w:pStyle w:val="Normal"/>
        <w:numPr>
          <w:ilvl w:val="0"/>
          <w:numId w:val="3"/>
        </w:numPr>
        <w:jc w:val="both"/>
        <w:rPr>
          <w:rFonts w:ascii="Tw Cen MT" w:hAnsi="Tw Cen MT" w:cs="Tw Cen MT"/>
        </w:rPr>
      </w:pPr>
      <w:r>
        <w:rPr>
          <w:rFonts w:cs="Tw Cen MT" w:ascii="Tw Cen MT" w:hAnsi="Tw Cen MT"/>
        </w:rPr>
        <w:t xml:space="preserve">Enron has seen successful transformations in other markets, such as in natural gas and electricity.  We believe that changes can be made to the U.S. steel industry to rationalize and increase efficiencies in the industry without harming consumers and are willing to offer our insights.  </w:t>
      </w:r>
    </w:p>
    <w:p>
      <w:pPr>
        <w:pStyle w:val="Normal"/>
        <w:ind w:start="360" w:end="0"/>
        <w:jc w:val="both"/>
        <w:rPr>
          <w:rFonts w:ascii="Tw Cen MT" w:hAnsi="Tw Cen MT" w:cs="Tw Cen MT"/>
          <w:b/>
        </w:rPr>
      </w:pPr>
      <w:r>
        <w:rPr>
          <w:rFonts w:cs="Tw Cen MT" w:ascii="Tw Cen MT" w:hAnsi="Tw Cen MT"/>
          <w:b/>
        </w:rPr>
      </w:r>
    </w:p>
    <w:p>
      <w:pPr>
        <w:pStyle w:val="Normal"/>
        <w:numPr>
          <w:ilvl w:val="0"/>
          <w:numId w:val="4"/>
        </w:numPr>
        <w:suppressAutoHyphens w:val="true"/>
        <w:jc w:val="both"/>
        <w:rPr>
          <w:rFonts w:ascii="Tw Cen MT" w:hAnsi="Tw Cen MT" w:cs="Tahoma"/>
        </w:rPr>
      </w:pPr>
      <w:r>
        <w:rPr>
          <w:rFonts w:cs="Tw Cen MT" w:ascii="Tw Cen MT" w:hAnsi="Tw Cen MT"/>
        </w:rPr>
        <w:t>The government should provide assistance directly -- not at the expense of other industries and consumers.</w:t>
      </w:r>
    </w:p>
    <w:p>
      <w:pPr>
        <w:pStyle w:val="BodyTextIndent"/>
        <w:jc w:val="both"/>
        <w:rPr>
          <w:rFonts w:ascii="Tw Cen MT" w:hAnsi="Tw Cen MT" w:cs="Tahoma"/>
        </w:rPr>
      </w:pPr>
      <w:r>
        <w:rPr>
          <w:rFonts w:cs="Tahoma" w:ascii="Tw Cen MT" w:hAnsi="Tw Cen MT"/>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w Cen MT">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2001-05-23T14:08:00Z</dcterms:created>
  <dc:creator>ldecker2</dc:creator>
  <dc:description/>
  <dc:language>en-CA</dc:language>
  <cp:lastModifiedBy>ldecker2</cp:lastModifiedBy>
  <cp:lastPrinted>2001-05-23T13:39:00Z</cp:lastPrinted>
  <dcterms:modified xsi:type="dcterms:W3CDTF">2001-05-25T13:35:00Z</dcterms:modified>
  <cp:revision>5</cp:revision>
  <dc:subject/>
  <dc:title>MEMORANDUM FOR STEVE KEAN</dc:title>
</cp:coreProperties>
</file>