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 xml:space="preserve"> </w:t>
      </w:r>
      <w:r>
        <w:rPr>
          <w:b/>
          <w:sz w:val="22"/>
        </w:rPr>
        <w:t>AMENDMENT TO</w:t>
      </w:r>
    </w:p>
    <w:p>
      <w:pPr>
        <w:pStyle w:val="Normal"/>
        <w:spacing w:before="0" w:after="240"/>
        <w:jc w:val="center"/>
        <w:rPr>
          <w:sz w:val="22"/>
        </w:rPr>
      </w:pPr>
      <w:r>
        <w:rPr>
          <w:b/>
          <w:sz w:val="22"/>
        </w:rPr>
        <w:t>ENFOLIO MASTER FIRM PURCHASE AND SALE AGREEMENT</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 xml:space="preserve">This Amendment to Master Firm Purchase and Sale Agreement is made and entered into effective as of October 1, 2001, by and between </w:t>
      </w:r>
      <w:r>
        <w:rPr>
          <w:b/>
          <w:sz w:val="22"/>
        </w:rPr>
        <w:t>Enron North America Corp.</w:t>
      </w:r>
      <w:r>
        <w:rPr>
          <w:sz w:val="22"/>
        </w:rPr>
        <w:t xml:space="preserve">, a Delaware corporation ("Company") and </w:t>
      </w:r>
      <w:r>
        <w:rPr>
          <w:b/>
          <w:bCs/>
          <w:sz w:val="22"/>
        </w:rPr>
        <w:t>Kaztex Energy Management</w:t>
      </w:r>
      <w:r>
        <w:rPr>
          <w:sz w:val="22"/>
        </w:rPr>
        <w:t>, a Wisconsin corporation ("Customer").</w:t>
      </w:r>
    </w:p>
    <w:p>
      <w:pPr>
        <w:pStyle w:val="Normal"/>
        <w:jc w:val="both"/>
        <w:rPr>
          <w:sz w:val="22"/>
        </w:rPr>
      </w:pPr>
      <w:r>
        <w:rPr>
          <w:sz w:val="22"/>
        </w:rPr>
      </w:r>
    </w:p>
    <w:p>
      <w:pPr>
        <w:pStyle w:val="Normal"/>
        <w:jc w:val="both"/>
        <w:rPr>
          <w:sz w:val="22"/>
        </w:rPr>
      </w:pPr>
      <w:r>
        <w:rPr>
          <w:sz w:val="22"/>
        </w:rPr>
      </w:r>
    </w:p>
    <w:p>
      <w:pPr>
        <w:pStyle w:val="Normal"/>
        <w:spacing w:before="120" w:after="120"/>
        <w:jc w:val="center"/>
        <w:rPr>
          <w:b/>
          <w:sz w:val="22"/>
        </w:rPr>
      </w:pPr>
      <w:r>
        <w:rPr>
          <w:b/>
          <w:sz w:val="22"/>
        </w:rPr>
        <w:t>WITNESSETH:</w:t>
      </w:r>
    </w:p>
    <w:p>
      <w:pPr>
        <w:pStyle w:val="Normal"/>
        <w:spacing w:before="0" w:after="120"/>
        <w:jc w:val="both"/>
        <w:rPr>
          <w:b/>
          <w:sz w:val="22"/>
        </w:rPr>
      </w:pPr>
      <w:r>
        <w:rPr>
          <w:b/>
          <w:sz w:val="22"/>
        </w:rPr>
      </w:r>
    </w:p>
    <w:p>
      <w:pPr>
        <w:pStyle w:val="Normal"/>
        <w:spacing w:before="0" w:after="120"/>
        <w:jc w:val="both"/>
        <w:rPr>
          <w:sz w:val="22"/>
        </w:rPr>
      </w:pPr>
      <w:r>
        <w:rPr>
          <w:sz w:val="22"/>
        </w:rPr>
        <w:tab/>
        <w:t>WHEREAS, Enron North America Corp. and Counterparty entered into that certain Master Firm Purchase and Sale Agreement dated effective August 1, 2001 as amended on October 1, 2001 ("Agreement"), covering transactions for the purchase or sale of Energy;</w:t>
      </w:r>
    </w:p>
    <w:p>
      <w:pPr>
        <w:pStyle w:val="Normal"/>
        <w:spacing w:before="0" w:after="120"/>
        <w:jc w:val="both"/>
        <w:rPr>
          <w:sz w:val="22"/>
        </w:rPr>
      </w:pPr>
      <w:r>
        <w:rPr>
          <w:sz w:val="22"/>
        </w:rPr>
        <w:tab/>
        <w:t>WHEREAS, the Parties now desire to amend the Agreement with respect to Article 4. Defaults and Remedies and the "Material Adverse Change".</w:t>
      </w:r>
    </w:p>
    <w:p>
      <w:pPr>
        <w:pStyle w:val="BodyText"/>
        <w:rPr/>
      </w:pPr>
      <w:r>
        <w:rPr/>
        <w:tab/>
        <w:t>NOW, THEREFORE, in consideration of the premises and the agreements herein contained, the Parties agree as follows:</w:t>
      </w:r>
    </w:p>
    <w:p>
      <w:pPr>
        <w:pStyle w:val="Justified"/>
        <w:rPr>
          <w:sz w:val="22"/>
        </w:rPr>
      </w:pPr>
      <w:r>
        <w:rPr>
          <w:sz w:val="22"/>
        </w:rPr>
        <w:t>1.</w:t>
        <w:tab/>
        <w:t xml:space="preserve">All references in any writing related to the Agreement shall be to the Agreement as amended hereby.  </w:t>
      </w:r>
    </w:p>
    <w:p>
      <w:pPr>
        <w:pStyle w:val="Normal"/>
        <w:spacing w:before="0" w:after="120"/>
        <w:jc w:val="both"/>
        <w:rPr>
          <w:sz w:val="22"/>
        </w:rPr>
      </w:pPr>
      <w:r>
        <w:rPr>
          <w:sz w:val="22"/>
        </w:rPr>
        <w:t>2.</w:t>
        <w:tab/>
        <w:t>All capitalized terms used herein unless otherwise defined shall have the meanings given to them in the Agreement.</w:t>
      </w:r>
    </w:p>
    <w:p>
      <w:pPr>
        <w:pStyle w:val="Normal"/>
        <w:spacing w:before="0" w:after="120"/>
        <w:jc w:val="both"/>
        <w:rPr/>
      </w:pPr>
      <w:r>
        <w:rPr>
          <w:sz w:val="22"/>
        </w:rPr>
        <w:t>3.</w:t>
        <w:tab/>
        <w:t xml:space="preserve">The following provision replaces and restates Section 4.1. of </w:t>
      </w:r>
      <w:r>
        <w:rPr>
          <w:b/>
          <w:sz w:val="22"/>
          <w:u w:val="single"/>
        </w:rPr>
        <w:t>Defaults and Remedies</w:t>
      </w:r>
      <w:r>
        <w:rPr>
          <w:bCs/>
          <w:sz w:val="22"/>
        </w:rPr>
        <w:t xml:space="preserve"> </w:t>
      </w:r>
      <w:r>
        <w:rPr>
          <w:sz w:val="22"/>
        </w:rPr>
        <w:t>in its entirety  “</w:t>
      </w:r>
      <w:r>
        <w:rPr>
          <w:b/>
          <w:sz w:val="22"/>
        </w:rPr>
        <w:t>4.1.</w:t>
      </w:r>
      <w:r>
        <w:rPr>
          <w:sz w:val="22"/>
        </w:rPr>
        <w:t xml:space="preserve"> </w:t>
      </w:r>
      <w:r>
        <w:rPr>
          <w:b/>
          <w:sz w:val="22"/>
          <w:u w:val="single"/>
        </w:rPr>
        <w:t>Early Termination</w:t>
      </w:r>
      <w:r>
        <w:rPr>
          <w:sz w:val="22"/>
        </w:rPr>
        <w:t xml:space="preserve">.  If a Triggering Event (defined in </w:t>
      </w:r>
      <w:r>
        <w:rPr>
          <w:sz w:val="22"/>
          <w:u w:val="single"/>
        </w:rPr>
        <w:t>Section 4.2</w:t>
      </w:r>
      <w:r>
        <w:rPr>
          <w:sz w:val="22"/>
        </w:rPr>
        <w:t>) occurs with respect to either Party at any time during the term of this Agreement, the other Party (the "</w:t>
      </w:r>
      <w:r>
        <w:rPr>
          <w:sz w:val="22"/>
          <w:u w:val="single"/>
        </w:rPr>
        <w:t>Notifying Party</w:t>
      </w:r>
      <w:r>
        <w:rPr>
          <w:sz w:val="22"/>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sz w:val="22"/>
          <w:u w:val="single"/>
        </w:rPr>
        <w:t>Early Termination Date</w:t>
      </w:r>
      <w:r>
        <w:rPr>
          <w:sz w:val="22"/>
        </w:rPr>
        <w:t xml:space="preserve">") except as provided in </w:t>
      </w:r>
      <w:r>
        <w:rPr>
          <w:sz w:val="22"/>
          <w:u w:val="single"/>
        </w:rPr>
        <w:t>Section 8.4</w:t>
      </w:r>
      <w:r>
        <w:rPr>
          <w:sz w:val="22"/>
        </w:rPr>
        <w:t xml:space="preserve">, and (ii) withhold any payments due in respect of such Transactions; provided, upon the occurrence of any Triggering Event listed in item (iv) of </w:t>
      </w:r>
      <w:r>
        <w:rPr>
          <w:sz w:val="22"/>
          <w:u w:val="single"/>
        </w:rPr>
        <w:t>Section 4.2</w:t>
      </w:r>
      <w:r>
        <w:rPr>
          <w:sz w:val="22"/>
        </w:rPr>
        <w:t xml:space="preserve"> as it may apply to any party, all Transactions and this Agreement in respect thereof shall automatically terminate, without notice, as if an Early Termination Date had been immediately declared except as provided in </w:t>
      </w:r>
      <w:r>
        <w:rPr>
          <w:sz w:val="22"/>
          <w:u w:val="single"/>
        </w:rPr>
        <w:t>Section 8.4</w:t>
      </w:r>
      <w:r>
        <w:rPr>
          <w:sz w:val="22"/>
        </w:rPr>
        <w:t>.  If an Early Termination Date occurs, the Notifying Party shall in good faith calculate its damages, including its associated costs and attorneys' fees, resulting from the termination of the terminated Transactions (the "</w:t>
      </w:r>
      <w:r>
        <w:rPr>
          <w:sz w:val="22"/>
          <w:u w:val="single"/>
        </w:rPr>
        <w:t>Termination Payment</w:t>
      </w:r>
      <w:r>
        <w:rPr>
          <w:sz w:val="22"/>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sz w:val="22"/>
          <w:u w:val="single"/>
        </w:rPr>
        <w:t>Section 4.2</w:t>
      </w:r>
      <w:r>
        <w:rPr>
          <w:sz w:val="22"/>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sz w:val="22"/>
          <w:u w:val="single"/>
        </w:rPr>
        <w:t>Article 4</w:t>
      </w:r>
      <w:r>
        <w:rPr>
          <w:sz w:val="22"/>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spacing w:before="0" w:after="120"/>
        <w:jc w:val="both"/>
        <w:rPr/>
      </w:pPr>
      <w:r>
        <w:rPr>
          <w:sz w:val="22"/>
        </w:rPr>
        <w:t>4.</w:t>
        <w:tab/>
        <w:t xml:space="preserve">The following provision replaces and restates the </w:t>
      </w:r>
      <w:r>
        <w:rPr>
          <w:b/>
          <w:bCs/>
          <w:sz w:val="22"/>
          <w:u w:val="single"/>
        </w:rPr>
        <w:t>Material Adverse Change</w:t>
      </w:r>
      <w:r>
        <w:rPr>
          <w:sz w:val="22"/>
        </w:rPr>
        <w:t xml:space="preserve"> in its entirety.  ““</w:t>
      </w:r>
      <w:r>
        <w:rPr>
          <w:sz w:val="22"/>
          <w:u w:val="single"/>
        </w:rPr>
        <w:t>Material Adverse Change</w:t>
      </w:r>
      <w:r>
        <w:rPr>
          <w:sz w:val="22"/>
        </w:rPr>
        <w:t>” means (i) with respect to Company, Enron corp. shall have senior unsecured long-term debt unsupported by third party credit enhancement that it is rated by Standard and Poors Corporation below BBB-, or (ii) with respect to Customer, Wisconsin Energy Corporation shall have unsecured debt unsupported by third party credit enhancement that is rated by Standard and Poors Corporation below A-, or customer ceases to be owned or otherwise controlled by its current ultimate parent, “owned or otherwise controlled by” meaning the direct or indirect ownership of at least 51% of the outstanding capital stock or other equity interests of Customers having ordinary voting power.”</w:t>
      </w:r>
    </w:p>
    <w:p>
      <w:pPr>
        <w:pStyle w:val="Justified"/>
        <w:rPr>
          <w:sz w:val="22"/>
        </w:rPr>
      </w:pPr>
      <w:r>
        <w:rPr>
          <w:sz w:val="22"/>
        </w:rPr>
        <w:t>5.</w:t>
        <w:tab/>
        <w:t>The Parties hereby acknowledge and agree that, except as specifically amended hereby, the Agreement shall remain in full force and effect in accordance with its terms.</w:t>
      </w:r>
    </w:p>
    <w:p>
      <w:pPr>
        <w:pStyle w:val="Justified"/>
        <w:rPr>
          <w:sz w:val="22"/>
        </w:rPr>
      </w:pPr>
      <w:r>
        <w:rPr>
          <w:sz w:val="22"/>
        </w:rPr>
        <w:t>6.</w:t>
        <w:tab/>
        <w:t>This Amendment may be executed in counterparts, each of which taken together shall constitute one and the same instrument.</w:t>
      </w:r>
    </w:p>
    <w:p>
      <w:pPr>
        <w:pStyle w:val="Justified"/>
        <w:rPr/>
      </w:pPr>
      <w:r>
        <w:rPr>
          <w:sz w:val="22"/>
        </w:rPr>
        <w:tab/>
        <w:t>IN WITNESS WHEREOF,</w:t>
      </w:r>
      <w:r>
        <w:rPr>
          <w:sz w:val="22"/>
          <w:u w:val="single"/>
        </w:rPr>
        <w:tab/>
        <w:tab/>
        <w:tab/>
      </w:r>
      <w:r>
        <w:rPr>
          <w:sz w:val="22"/>
        </w:rPr>
        <w:t xml:space="preserve">and </w:t>
      </w:r>
      <w:r>
        <w:rPr>
          <w:sz w:val="22"/>
          <w:u w:val="single"/>
        </w:rPr>
        <w:tab/>
        <w:tab/>
        <w:tab/>
      </w:r>
      <w:r>
        <w:rPr>
          <w:sz w:val="22"/>
        </w:rPr>
        <w:t>, by their respective authorized representatives, have executed this Fifth Amendment effective as of the date first written above.</w:t>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b/>
          <w:sz w:val="22"/>
        </w:rPr>
      </w:pPr>
      <w:r>
        <w:rPr>
          <w:b/>
          <w:sz w:val="22"/>
        </w:rPr>
        <w:t>ENRON NORTH AMERICA CORP.</w:t>
      </w:r>
    </w:p>
    <w:p>
      <w:pPr>
        <w:pStyle w:val="Normal"/>
        <w:tabs>
          <w:tab w:val="clear" w:pos="720"/>
          <w:tab w:val="left" w:pos="5040" w:leader="none"/>
          <w:tab w:val="left" w:pos="9180" w:leader="none"/>
        </w:tabs>
        <w:spacing w:before="0" w:after="120"/>
        <w:jc w:val="both"/>
        <w:rPr>
          <w:b/>
          <w:sz w:val="22"/>
        </w:rPr>
      </w:pPr>
      <w:r>
        <w:rPr>
          <w:b/>
          <w:sz w:val="22"/>
        </w:rPr>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u w:val="single"/>
        </w:rPr>
      </w:pPr>
      <w:r>
        <w:rPr>
          <w:sz w:val="22"/>
        </w:rPr>
        <w:t xml:space="preserve">Title: </w:t>
      </w:r>
      <w:r>
        <w:rPr>
          <w:sz w:val="22"/>
          <w:u w:val="single"/>
        </w:rPr>
        <w:tab/>
        <w:tab/>
        <w:tab/>
        <w:tab/>
        <w:tab/>
        <w:tab/>
        <w:tab/>
      </w:r>
    </w:p>
    <w:p>
      <w:pPr>
        <w:pStyle w:val="Normal"/>
        <w:tabs>
          <w:tab w:val="clear" w:pos="720"/>
          <w:tab w:val="left" w:pos="5040" w:leader="none"/>
          <w:tab w:val="left" w:pos="9180" w:leader="none"/>
        </w:tabs>
        <w:spacing w:before="0" w:after="120"/>
        <w:jc w:val="both"/>
        <w:rPr>
          <w:sz w:val="22"/>
          <w:u w:val="single"/>
        </w:rPr>
      </w:pPr>
      <w:r>
        <w:rPr>
          <w:sz w:val="22"/>
          <w:u w:val="single"/>
        </w:rPr>
      </w:r>
    </w:p>
    <w:p>
      <w:pPr>
        <w:pStyle w:val="Normal"/>
        <w:tabs>
          <w:tab w:val="clear" w:pos="720"/>
          <w:tab w:val="left" w:pos="5040" w:leader="none"/>
          <w:tab w:val="left" w:pos="9180" w:leader="none"/>
        </w:tabs>
        <w:spacing w:before="0" w:after="120"/>
        <w:jc w:val="both"/>
        <w:rPr>
          <w:sz w:val="22"/>
        </w:rPr>
      </w:pPr>
      <w:r>
        <w:rPr>
          <w:sz w:val="22"/>
        </w:rPr>
      </w:r>
    </w:p>
    <w:p>
      <w:pPr>
        <w:pStyle w:val="Heading1"/>
        <w:ind w:hanging="0" w:start="0"/>
        <w:rPr/>
      </w:pPr>
      <w:r>
        <w:rPr/>
        <w:t>KAZTEX ENERGY MANAGEMENT</w:t>
      </w:r>
    </w:p>
    <w:p>
      <w:pPr>
        <w:pStyle w:val="Normal"/>
        <w:tabs>
          <w:tab w:val="clear" w:pos="720"/>
          <w:tab w:val="left" w:pos="5040" w:leader="none"/>
          <w:tab w:val="left" w:pos="9180" w:leader="none"/>
        </w:tabs>
        <w:spacing w:before="0" w:after="120"/>
        <w:jc w:val="both"/>
        <w:rPr>
          <w:sz w:val="22"/>
        </w:rPr>
      </w:pPr>
      <w:r>
        <w:rPr>
          <w:sz w:val="22"/>
        </w:rPr>
      </w:r>
    </w:p>
    <w:p>
      <w:pPr>
        <w:pStyle w:val="Normal"/>
        <w:tabs>
          <w:tab w:val="clear" w:pos="720"/>
          <w:tab w:val="left" w:pos="5040" w:leader="none"/>
          <w:tab w:val="left" w:pos="9180" w:leader="none"/>
        </w:tabs>
        <w:spacing w:before="0" w:after="120"/>
        <w:jc w:val="both"/>
        <w:rPr>
          <w:sz w:val="22"/>
        </w:rPr>
      </w:pPr>
      <w:r>
        <w:rPr>
          <w:sz w:val="22"/>
        </w:rPr>
        <w:t>By:</w:t>
      </w:r>
      <w:r>
        <w:rPr>
          <w:sz w:val="22"/>
          <w:u w:val="single"/>
        </w:rPr>
        <w:tab/>
      </w:r>
    </w:p>
    <w:p>
      <w:pPr>
        <w:pStyle w:val="Normal"/>
        <w:tabs>
          <w:tab w:val="clear" w:pos="720"/>
          <w:tab w:val="left" w:pos="5040" w:leader="none"/>
          <w:tab w:val="left" w:pos="9180" w:leader="none"/>
        </w:tabs>
        <w:spacing w:before="0" w:after="120"/>
        <w:jc w:val="both"/>
        <w:rPr>
          <w:sz w:val="22"/>
        </w:rPr>
      </w:pPr>
      <w:r>
        <w:rPr>
          <w:sz w:val="22"/>
        </w:rPr>
        <w:t>Name:</w:t>
      </w:r>
      <w:r>
        <w:rPr>
          <w:sz w:val="22"/>
          <w:u w:val="single"/>
        </w:rPr>
        <w:tab/>
      </w:r>
    </w:p>
    <w:p>
      <w:pPr>
        <w:pStyle w:val="Normal"/>
        <w:rPr/>
      </w:pPr>
      <w:r>
        <w:rPr>
          <w:sz w:val="22"/>
        </w:rPr>
        <w:t xml:space="preserve">Title: </w:t>
      </w:r>
      <w:r>
        <w:rPr>
          <w:sz w:val="22"/>
          <w:u w:val="single"/>
        </w:rPr>
        <w:tab/>
        <w:tab/>
        <w:tab/>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/mnt/main-storage/datasets/enron-docs/doc/Kaztex_Energy_Amend.doc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0" w:leader="none"/>
        <w:tab w:val="left" w:pos="9180" w:leader="none"/>
      </w:tabs>
      <w:spacing w:before="0" w:after="120"/>
      <w:jc w:val="both"/>
      <w:outlineLvl w:val="0"/>
    </w:pPr>
    <w:rPr>
      <w:b/>
      <w:bCs/>
      <w:sz w:val="22"/>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2001-10-10T19:47:00Z</dcterms:created>
  <dc:creator>dperlin</dc:creator>
  <dc:description/>
  <dc:language>en-CA</dc:language>
  <cp:lastModifiedBy>dperlin</cp:lastModifiedBy>
  <cp:lastPrinted>2001-10-11T10:18:00Z</cp:lastPrinted>
  <dcterms:modified xsi:type="dcterms:W3CDTF">2001-10-12T18:18:00Z</dcterms:modified>
  <cp:revision>7</cp:revision>
  <dc:subject/>
  <dc:title> AMENDMENT TO</dc:title>
</cp:coreProperties>
</file>