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3168"/>
        <w:gridCol w:w="5688"/>
      </w:tblGrid>
      <w:tr>
        <w:trPr>
          <w:trHeight w:val="1840" w:hRule="atLeast"/>
        </w:trPr>
        <w:tc>
          <w:tcPr>
            <w:tcW w:w="885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tabs>
                <w:tab w:val="clear" w:pos="720"/>
                <w:tab w:val="left" w:pos="1440" w:leader="none"/>
              </w:tabs>
              <w:spacing w:before="0" w:after="360"/>
              <w:ind w:hanging="2880" w:start="2880" w:end="0"/>
              <w:jc w:val="both"/>
              <w:rPr/>
            </w:pPr>
            <w:r>
              <w:rPr/>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Seller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TECO Power Services (“TECO”)</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Buyer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Enron Power Marketing Inc. (“EPMI”)</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Transaction Overview</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Gas/Power Tolling Agreement with Buyer having oil dispatch rights on the Facility.  Buyer shall have the right, but not the obligation, to deliver natural gas and take delivery of electrical energy from the Facility.  Buyer shall have the right, but not the obligation, to request Seller to operate the Facility on Fuel Oil, subject to the Operating Limits described below.</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Term</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6/1/02 – 5/31/2007</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Facility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Midway Generation Facility, located in St. Lucie County, FL., will consist of a minimum of two (2) General Electric 7FA combustion turbine generators operating in simple cycle mode with a total nameplate capacity of [    ] MW.  The Facility will be configured by Seller to utilize both natural gas and fuel oil for the generation of the Maximum Energy.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Capacity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Guaranteed Capacity shall be determined monthly based upon the Guaranteed Capacity Schedule plus, if applicable, the Expansion Capacity Schedule.  Buyer and Seller shall agree on the Guaranteed Capacity Schedule and the Expansion Capacity Schedule.</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Heat Rate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assigns to Buyer a heat rate (high heating value) at the Facility (“Heat Rate”) of 11,000 Btu/kwh when burning natural gas and 10,500 Btu/kWh when burning Fuel oil.  To the extent that the actual Heat Rate varies from these assigned levels, thus requiring more or less fuel to achieve to achieve the output levels requested by Buyer than would be required at the Guaranteed Heat Rate, Seller shall reimburse Buyer for any and all costs or penalties associated with any resulting fuel imbalances, surpluses, or deficiencies.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Maximum Annual Energy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maximum annual quantity of energy (MWh) delivered to Seller under the terms of this Agreement shall be by Buyer’s relative hours of Facility dispatch on natural gas and fuel oil.  The Maximum Annual Energy (“MAE”) shall be determined according to the following:</w:t>
            </w:r>
          </w:p>
          <w:p>
            <w:pPr>
              <w:pStyle w:val="Normal"/>
              <w:rPr/>
            </w:pPr>
            <w:r>
              <w:rPr/>
              <w:t>MAE=Guaranteed Capacity*Annual hours of operation, subject to the Operating Limits defined below.</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Expansion Capacity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has the right, but not the obligation, to expand the capacity of the Facility through the construction and operation of a third General Electric 7FA combustion turbine.  In the event  that such expansion capacity is available on or before June 1, 2003, Buyer would purchase such expansion capacity and pay Seller a monthly Expansion Capacity Charge during the period of June 1, 2003 through May 31, 2007 as described below:</w:t>
            </w:r>
          </w:p>
          <w:p>
            <w:pPr>
              <w:pStyle w:val="Normal"/>
              <w:rPr/>
            </w:pPr>
            <w:r>
              <w:rPr/>
              <w:t>May, September: $x.xx/kw-mo or $YYY,YYY/month</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Operating Limits</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Annual Hours of Operation shall be determined as follows:</w:t>
            </w:r>
          </w:p>
          <w:p>
            <w:pPr>
              <w:pStyle w:val="Normal"/>
              <w:rPr/>
            </w:pPr>
            <w:r>
              <w:rPr/>
              <w:t>0.95 x [ GO + HO ],</w:t>
            </w:r>
          </w:p>
          <w:p>
            <w:pPr>
              <w:pStyle w:val="Normal"/>
              <w:rPr/>
            </w:pPr>
            <w:r>
              <w:rPr/>
              <w:t>where GO = (3500 – HO - A*(HO – 250) ]</w:t>
            </w:r>
          </w:p>
          <w:p>
            <w:pPr>
              <w:pStyle w:val="Normal"/>
              <w:rPr/>
            </w:pPr>
            <w:r>
              <w:rPr/>
              <w:t>where GO represents the Facility’s annual dispatched hours of operation on natural gas and HO represents the Facility’s annual dispatched hours of operation on fuel oil.</w:t>
            </w:r>
          </w:p>
          <w:p>
            <w:pPr>
              <w:pStyle w:val="Normal"/>
              <w:rPr/>
            </w:pPr>
            <w:r>
              <w:rPr/>
              <w:t>If HO is greater than 250 then A shall be equal to two (2), otherwise A shall be equal to zero (0).</w:t>
            </w:r>
          </w:p>
          <w:p>
            <w:pPr>
              <w:pStyle w:val="Normal"/>
              <w:rPr/>
            </w:pPr>
            <w:r>
              <w:rPr/>
              <w:t>During the period of June 1, 2002 through May 31, 2005, HO shall not exceed 1000 hours annually.  During the period of June 1, 2005 through May 31, 2007, HO shall not exceed 500 hours annually.  Operating limitations for Buyer are:  (a) maximum two starts per Unit per day, (b) minimum four hours run time per Unit start, (c) maximum average of 3500 hours run time per twelve (12) month period per Unit during the Term of the Agreement, and (d) maximum ___ starts per Unit per year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Availability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Guaranteed Availability Factor (“GAF”) of the Facility shall be 95% during the months of May, June, July, August and September.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Actual Availability</w:t>
            </w:r>
          </w:p>
        </w:tc>
        <w:tc>
          <w:tcPr>
            <w:tcW w:w="5688" w:type="dxa"/>
            <w:tcBorders>
              <w:top w:val="single" w:sz="4" w:space="0" w:color="000000"/>
              <w:start w:val="single" w:sz="4" w:space="0" w:color="000000"/>
              <w:bottom w:val="single" w:sz="4" w:space="0" w:color="000000"/>
              <w:end w:val="single" w:sz="4" w:space="0" w:color="000000"/>
            </w:tcBorders>
          </w:tcPr>
          <w:p>
            <w:pPr>
              <w:pStyle w:val="BodyTextIndent2"/>
              <w:ind w:hanging="0" w:start="0" w:end="0"/>
              <w:rPr/>
            </w:pPr>
            <w:r>
              <w:rPr/>
              <w:t>The Actual Availability Factor (“AAF”) shall be determined on a monthly basis by the following formula:</w:t>
            </w:r>
          </w:p>
          <w:p>
            <w:pPr>
              <w:pStyle w:val="Heading2"/>
              <w:ind w:hanging="0" w:start="0"/>
              <w:jc w:val="start"/>
              <w:rPr>
                <w:b/>
                <w:sz w:val="20"/>
              </w:rPr>
            </w:pPr>
            <w:r>
              <w:rPr>
                <w:b/>
                <w:sz w:val="20"/>
              </w:rPr>
              <w:t>AAF = ((PxC)-M)/(PxC)</w:t>
            </w:r>
          </w:p>
          <w:p>
            <w:pPr>
              <w:pStyle w:val="Header"/>
              <w:tabs>
                <w:tab w:val="clear" w:pos="4320"/>
                <w:tab w:val="clear" w:pos="8640"/>
              </w:tabs>
              <w:rPr>
                <w:b/>
                <w:sz w:val="20"/>
              </w:rPr>
            </w:pPr>
            <w:r>
              <w:rPr>
                <w:b/>
                <w:sz w:val="20"/>
              </w:rPr>
            </w:r>
          </w:p>
          <w:p>
            <w:pPr>
              <w:pStyle w:val="Normal"/>
              <w:rPr/>
            </w:pPr>
            <w:r>
              <w:rPr/>
              <w:t>Where:</w:t>
            </w:r>
          </w:p>
          <w:p>
            <w:pPr>
              <w:pStyle w:val="Normal"/>
              <w:spacing w:lineRule="atLeast" w:line="240"/>
              <w:rPr/>
            </w:pPr>
            <w:r>
              <w:rPr>
                <w:b/>
                <w:color w:val="000000"/>
              </w:rPr>
              <w:t>AAF</w:t>
            </w:r>
            <w:r>
              <w:rPr>
                <w:color w:val="000000"/>
              </w:rPr>
              <w:t xml:space="preserve"> = Actual Availability Factor.  This number is given as a whole number (all percentages are rounded to the nearest whole number e.g. 94.4% = 94%)</w:t>
            </w:r>
          </w:p>
          <w:p>
            <w:pPr>
              <w:pStyle w:val="Normal"/>
              <w:spacing w:lineRule="atLeast" w:line="240"/>
              <w:rPr/>
            </w:pPr>
            <w:r>
              <w:rPr>
                <w:b/>
                <w:color w:val="000000"/>
              </w:rPr>
              <w:t>P</w:t>
            </w:r>
            <w:r>
              <w:rPr>
                <w:color w:val="000000"/>
              </w:rPr>
              <w:t xml:space="preserve"> = the number of scheduled hours in a given month</w:t>
            </w:r>
          </w:p>
          <w:p>
            <w:pPr>
              <w:pStyle w:val="Normal"/>
              <w:spacing w:lineRule="atLeast" w:line="240"/>
              <w:rPr/>
            </w:pPr>
            <w:r>
              <w:rPr>
                <w:b/>
                <w:color w:val="000000"/>
              </w:rPr>
              <w:t>C</w:t>
            </w:r>
            <w:r>
              <w:rPr>
                <w:color w:val="000000"/>
              </w:rPr>
              <w:t xml:space="preserve"> = the Guaranteed Output for that month (in units of MWs)</w:t>
            </w:r>
          </w:p>
          <w:p>
            <w:pPr>
              <w:pStyle w:val="Normal"/>
              <w:spacing w:lineRule="atLeast" w:line="240"/>
              <w:rPr/>
            </w:pPr>
            <w:r>
              <w:rPr>
                <w:b/>
              </w:rPr>
              <w:t>M</w:t>
            </w:r>
            <w:r>
              <w:rPr/>
              <w:t xml:space="preserve"> = the cumulative number of MWhs scheduled during All Hours by the Buyer that the Seller fails to deliver during the month.</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Charge Adjustment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If the GAF exceeds the AAF, a Capacity Charge Adjustment (“CCA”) will be determined as follows:</w:t>
            </w:r>
          </w:p>
          <w:p>
            <w:pPr>
              <w:pStyle w:val="Normal"/>
              <w:rPr/>
            </w:pPr>
            <w:r>
              <w:rPr/>
            </w:r>
          </w:p>
          <w:p>
            <w:pPr>
              <w:pStyle w:val="Normal"/>
              <w:rPr/>
            </w:pPr>
            <w:r>
              <w:rPr/>
              <w:t>CCA = CC/100 * ((GAF-AAF)*100)</w:t>
            </w:r>
            <w:r>
              <w:rPr>
                <w:rFonts w:cs="Times" w:ascii="Times" w:hAnsi="Times"/>
                <w:vertAlign w:val="superscript"/>
              </w:rPr>
              <w:t>RC</w:t>
            </w:r>
            <w:r>
              <w:rPr>
                <w:rFonts w:cs="Times" w:ascii="Times" w:hAnsi="Times"/>
              </w:rPr>
              <w:t xml:space="preserve"> + 0.1, where</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CC is the Capacity Charge for the month</w:t>
            </w:r>
          </w:p>
          <w:p>
            <w:pPr>
              <w:pStyle w:val="Normal"/>
              <w:rPr>
                <w:rFonts w:ascii="Times" w:hAnsi="Times" w:cs="Times"/>
              </w:rPr>
            </w:pPr>
            <w:r>
              <w:rPr>
                <w:rFonts w:cs="Times" w:ascii="Times" w:hAnsi="Times"/>
              </w:rPr>
              <w:t>RC is a Refund Coefficient, and is equal to 1.5</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Scheduled Outages</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may schedule up to seven (7) twenty-four hour periods each year of this Agreement to perform scheduled maintenance of the Facility (“Scheduled Maintenance Outages”). Such Scheduled Maintenance Outages shall not occur during the months of May, June, July, August, or September during the term of this Agreement.  Seller shall provide Buyer with a minimum of thirty (30) days notice of any Scheduled Maintenance Outages and  Seller shall cooperate with Buyer to arrange Scheduled Maintenance Outages at times acceptable to Buyer.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Fuel Oil </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shall design, construct, and operate the Facility in accordance with all applicable regulations so as to allow the use of fuel oil to generate the Maximum Annual Energy.  In lieu of supplying gas to the Facility, Buyer shall have the right, at its option, to require Seller to utilize the Facility’s on-site fuel oil supply subject to the Operating Limits described above.  Seller shall be responsible for the supply, transportation, and storage of fuel oil for the Facility.  Buyer shall pay Seller a separate Energy Charge when dispatching the Facility on fuel oil.</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Energy Tolling Fee &amp; Start Charge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During the term of this Agreement Buyer shall pay Seller, at the end of each month, an Energy Tolling Fee for each Maw of energy scheduled by Buyer and delivered by Seller and a Start Charge Fee for each start scheduled by Buyer and completed by Seller.  The Energy Tolling Fee shall be $1.00 per Maw for natural gas operation and $3.00 per Maw for fuel oil.  The Start Charge Fee shall by $5,000.00 per start for both natural gas and fuel oil operation.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Payment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During the term of this Agreement Buyer shall pay Seller, at the end of each month, a Capacity Payment equal to the product of the Guaranteed Capacity and the monthly Capacity Charge shown below, subject to the Capacity Payment Adjustment.</w:t>
            </w:r>
          </w:p>
          <w:p>
            <w:pPr>
              <w:pStyle w:val="Normal"/>
              <w:rPr/>
            </w:pPr>
            <w:r>
              <w:rPr/>
              <w:t>July, August:  $xx.xx per kw</w:t>
            </w:r>
          </w:p>
          <w:p>
            <w:pPr>
              <w:pStyle w:val="Normal"/>
              <w:rPr/>
            </w:pPr>
            <w:r>
              <w:rPr/>
              <w:t>June, September: $y.yy per kw</w:t>
            </w:r>
          </w:p>
          <w:p>
            <w:pPr>
              <w:pStyle w:val="Normal"/>
              <w:rPr/>
            </w:pPr>
            <w:r>
              <w:rPr/>
              <w:t>October – April:  $z.zz per kw</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Energy Charge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During the term of this Agreement Buyer shall pay Seller, at the end of each month, an Energy Charge for each MWh of energy generated by the Facility on fuel oil, scheduled by Buyer and delivered by Seller.  The Energy Charge shall be equal to the NYMEX Gulf Coast #2 Heating Oil index on the applicable day of energy schedule and delivery plus [$0.10 per gallon].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Expansion Capacity Payment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has the right, but not the obligation, to expand the capacity of the Facility through the construction of a third General Electric 7FA combustion turbine.  In the event that such Expansion Capacity is available on or before June 1, 2003, Buyer would purchase such Expansion Capacity and pay Seller a Monthly Expansion Capacity Payment during the period of June 1, 2003 through May 31, 2007.  During the term of this Agreement Buyer shall pay Seller, at the end of each month, a Capacity Payment equal to the product of the Guaranteed Capacity and the Expansion Capacity Charge shown below, subject to the Capacity Payment Adjustment.</w:t>
            </w:r>
          </w:p>
          <w:p>
            <w:pPr>
              <w:pStyle w:val="Normal"/>
              <w:rPr/>
            </w:pPr>
            <w:r>
              <w:rPr/>
            </w:r>
          </w:p>
          <w:p>
            <w:pPr>
              <w:pStyle w:val="Normal"/>
              <w:rPr/>
            </w:pPr>
            <w:r>
              <w:rPr/>
              <w:t>July, August:  $xx.xx per kw</w:t>
            </w:r>
          </w:p>
          <w:p>
            <w:pPr>
              <w:pStyle w:val="Normal"/>
              <w:rPr/>
            </w:pPr>
            <w:r>
              <w:rPr/>
              <w:t>June, September: $y.yy per kw</w:t>
            </w:r>
          </w:p>
          <w:p>
            <w:pPr>
              <w:pStyle w:val="Normal"/>
              <w:rPr/>
            </w:pPr>
            <w:r>
              <w:rPr/>
              <w:t>October – April:  $z.zz per kw</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Delivery Point - Power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point of interconnection between the Facility and the 500 kV transmission system of Florida Power and Light (FP&amp;L).</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Delivery Point - Gas</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point of interconnection between the Facility’s natural gas pipeline lateral and the Florida Gas Transmission (“FGT”) pipeline system, south of Compressor station twenty (20), in St. Lucie County, Florida.  Seller shall be responsible for all capital, operating, and other costs associated with interconnecting the Facility to FGT at the Gas Delivery Point.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Transmission</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Buyer shall, at such time as it is required to pay FP&amp;L for transmission services required to deliver energy from the Facility, purchase an equal amount of transmission credits from Buyer at a cost equal to Buyer’s actual cost to obtain the credits.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Scheduling</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Buyer shall provide Seller with a day-ahead schedule of Buyer’s energy dispatch no later than 6:00 p.m. (EST) on the day prior to such dispatch. Buyer shall have the right to modify such schedule with a minimum notification requirement to Seller of three (3) hours within a defined Peak Period</w:t>
            </w:r>
            <w:r>
              <w:rPr>
                <w:color w:val="000000"/>
              </w:rPr>
              <w:t xml:space="preserve">, where peak hours are HE 0800-2300 Sunday through Saturday EST </w:t>
            </w:r>
            <w:r>
              <w:rPr/>
              <w:t>(minimum five (5) hour notification if called outside the defined Peak Period).  Each energy schedule, once accepted by Seller, would not be subject to curtailment for economic reasons.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Confidentiality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All terms and conditions contained in this Draft Term Sheet and the information contained in the accompanying Information Memorandum, are confidential between EPMI, the recipients, and their duly appointed representatives, and shall not be disclosed to third parties.</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spacing w:before="0" w:after="360"/>
      <w:ind w:hanging="2880" w:start="-108"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Indent2">
    <w:name w:val="Body Text Indent 2"/>
    <w:basedOn w:val="Normal"/>
    <w:qFormat/>
    <w:pPr>
      <w:spacing w:before="0" w:after="240"/>
      <w:ind w:hanging="288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2001-05-31T19:31:00Z</dcterms:created>
  <dc:creator>kmann</dc:creator>
  <dc:description/>
  <dc:language>en-CA</dc:language>
  <cp:lastModifiedBy>Fred Mitro</cp:lastModifiedBy>
  <dcterms:modified xsi:type="dcterms:W3CDTF">2001-05-31T20:11:00Z</dcterms:modified>
  <cp:revision>7</cp:revision>
  <dc:subject/>
  <dc:title>Seller</dc:title>
</cp:coreProperties>
</file>