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USING THE EEI-NEM MASTER CONTRACT</w:t>
      </w:r>
    </w:p>
    <w:p>
      <w:pPr>
        <w:pStyle w:val="Subtitle"/>
        <w:rPr>
          <w:sz w:val="24"/>
        </w:rPr>
      </w:pPr>
      <w:r>
        <w:rPr/>
        <w:t xml:space="preserve"> </w:t>
      </w:r>
      <w:r>
        <w:rPr/>
        <w:t>TO MANAGE POWER MARKETING RISKS</w:t>
      </w:r>
    </w:p>
    <w:p>
      <w:pPr>
        <w:pStyle w:val="Normal"/>
        <w:jc w:val="center"/>
        <w:rPr>
          <w:sz w:val="24"/>
        </w:rPr>
      </w:pPr>
      <w:r>
        <w:rPr>
          <w:sz w:val="24"/>
        </w:rPr>
      </w:r>
    </w:p>
    <w:p>
      <w:pPr>
        <w:pStyle w:val="Normal"/>
        <w:jc w:val="center"/>
        <w:rPr>
          <w:vertAlign w:val="superscript"/>
        </w:rPr>
      </w:pPr>
      <w:r>
        <w:rPr/>
        <w:t>Andrew S. Katz</w:t>
      </w:r>
      <w:r>
        <w:rPr>
          <w:rStyle w:val="FootnoteCharacters"/>
          <w:rStyle w:val="FootnoteReference"/>
        </w:rPr>
        <w:footnoteReference w:customMarkFollows="1" w:id="2"/>
        <w:t>*</w:t>
      </w:r>
    </w:p>
    <w:p>
      <w:pPr>
        <w:pStyle w:val="Normal"/>
        <w:jc w:val="center"/>
        <w:rPr>
          <w:vertAlign w:val="superscript"/>
        </w:rPr>
      </w:pPr>
      <w:r>
        <w:rPr>
          <w:vertAlign w:val="superscript"/>
        </w:rPr>
      </w:r>
    </w:p>
    <w:p>
      <w:pPr>
        <w:pStyle w:val="Normal"/>
        <w:jc w:val="center"/>
        <w:rPr/>
      </w:pPr>
      <w:r>
        <w:rPr/>
      </w:r>
    </w:p>
    <w:p>
      <w:pPr>
        <w:pStyle w:val="Heading1"/>
        <w:ind w:hanging="0" w:start="0"/>
        <w:rPr/>
      </w:pPr>
      <w:r>
        <w:rPr/>
        <w:t>I.  Introduction</w:t>
      </w:r>
    </w:p>
    <w:p>
      <w:pPr>
        <w:pStyle w:val="Normal"/>
        <w:rPr/>
      </w:pPr>
      <w:r>
        <w:rPr/>
      </w:r>
    </w:p>
    <w:p>
      <w:pPr>
        <w:pStyle w:val="BodyTextIndent"/>
        <w:rPr/>
      </w:pPr>
      <w:r>
        <w:rPr/>
        <w:t xml:space="preserve">A commercially-oriented, standard power purchase and sale agreement  incorporating precisely defined common products, trading practices and legal terms is an essential tool to control risk for the participants in competitive wholesale electric power markets in the U.S. and elsewhere.  Edison Electric Institute (EEI), with the support of the National Energy Marketers Association (NEM), has responded to the need for power trading documentation better suited to today’s market environment by facilitating an 18 month effort to create the EEI-NEM Model Master Power Purchase &amp; Sale Agreement (Master Agreement).  A broad-based electric industry working group comprised of in-house and outside counsel, energy traders and risk managers donated extensive amounts of their time to develop what they hope will be the new standard in power trading documentation.  </w:t>
      </w:r>
    </w:p>
    <w:p>
      <w:pPr>
        <w:pStyle w:val="BodyTextIndent"/>
        <w:rPr/>
      </w:pPr>
      <w:r>
        <w:rPr/>
      </w:r>
    </w:p>
    <w:p>
      <w:pPr>
        <w:pStyle w:val="BodyTextIndent"/>
        <w:rPr/>
      </w:pPr>
      <w:r>
        <w:rPr/>
        <w:t>This article explains why standardized power contracts are important in today’s bulk power markets and describes the Master Agreement development process.  The article also describes the principal provisions of the Master Agreement and demonstrates how the provisions may be used in various commercial settings.  Finally, the article addresses some important ancillary issues, including  documenting the Master Agreement under the Federal Energy Regulatory Commission’s (FERC) filing requirements for market-based sellers.</w:t>
      </w:r>
    </w:p>
    <w:p>
      <w:pPr>
        <w:pStyle w:val="Normal"/>
        <w:rPr/>
      </w:pPr>
      <w:r>
        <w:rPr/>
      </w:r>
    </w:p>
    <w:p>
      <w:pPr>
        <w:pStyle w:val="Normal"/>
        <w:rPr/>
      </w:pPr>
      <w:r>
        <w:rPr/>
      </w:r>
    </w:p>
    <w:p>
      <w:pPr>
        <w:pStyle w:val="Heading1"/>
        <w:ind w:hanging="0" w:start="0"/>
        <w:rPr/>
      </w:pPr>
      <w:r>
        <w:rPr/>
        <w:t>II.  Need for Standardized Power Contracts</w:t>
      </w:r>
    </w:p>
    <w:p>
      <w:pPr>
        <w:pStyle w:val="BodyTextIndent"/>
        <w:rPr/>
      </w:pPr>
      <w:r>
        <w:rPr/>
      </w:r>
    </w:p>
    <w:p>
      <w:pPr>
        <w:pStyle w:val="BodyTextIndent"/>
        <w:rPr/>
      </w:pPr>
      <w:r>
        <w:rPr/>
        <w:t>Those who buy or sell competitive bulk power in financial or physical markets handle one of the nation's most volatile commodities.  Bilateral bulk power trading is implemented through a variety of customized structured transactions and over-the counter (OTC) derivative products, including forward contracts, options, swaps, and spreads.</w:t>
      </w:r>
      <w:r>
        <w:rPr>
          <w:rStyle w:val="FootnoteCharacters"/>
          <w:rStyle w:val="FootnoteReference"/>
        </w:rPr>
        <w:footnoteReference w:id="3"/>
      </w:r>
      <w:r>
        <w:rPr/>
        <w:t xml:space="preserve">   Both the physical nature of electricity and the “econo-technical-legal-regulatory infrastructure” (to coin a phrase) that supports its generation, transmission, and consumption significantly increase power market transaction commodity risks.</w:t>
      </w:r>
      <w:r>
        <w:rPr>
          <w:rStyle w:val="FootnoteCharacters"/>
        </w:rPr>
        <w:t xml:space="preserve"> </w:t>
      </w:r>
      <w:r>
        <w:rPr>
          <w:rStyle w:val="FootnoteCharacters"/>
          <w:rStyle w:val="FootnoteReference"/>
        </w:rPr>
        <w:footnoteReference w:id="4"/>
      </w:r>
      <w:r>
        <w:rPr/>
        <w:t xml:space="preserve">  These  risks are:  market (price); liquidity (supply), credit, legal, and operational (delivery).</w:t>
      </w:r>
      <w:r>
        <w:rPr>
          <w:rStyle w:val="FootnoteCharacters"/>
          <w:rStyle w:val="FootnoteReference"/>
        </w:rPr>
        <w:footnoteReference w:id="5"/>
      </w:r>
      <w:r>
        <w:rPr/>
        <w:t xml:space="preserve">  </w:t>
      </w:r>
    </w:p>
    <w:p>
      <w:pPr>
        <w:pStyle w:val="BodyTextIndent"/>
        <w:rPr/>
      </w:pPr>
      <w:r>
        <w:rPr/>
      </w:r>
    </w:p>
    <w:p>
      <w:pPr>
        <w:pStyle w:val="BodyTextIndent"/>
        <w:rPr/>
      </w:pPr>
      <w:r>
        <w:rPr/>
        <w:t>The wholesale power market price volatility and performance disruptions during the past three summers drive home the importance of adequate risk controls for power market participants.  The risks are numerous for many reasons.   Moreover, the dynamic interplay between electricity generation, transmission, and consumption creates extremely complex price behavior which is difficult to predict accurately.</w:t>
      </w:r>
      <w:r>
        <w:rPr>
          <w:rStyle w:val="FootnoteCharacters"/>
          <w:rStyle w:val="FootnoteReference"/>
        </w:rPr>
        <w:footnoteReference w:id="6"/>
      </w:r>
      <w:r>
        <w:rPr/>
        <w:t xml:space="preserve">  Demand and transaction volumes have increased in U.S. wholesale power markets, while surplus generation and transmission facilities have declined.</w:t>
      </w:r>
      <w:r>
        <w:rPr>
          <w:rStyle w:val="FootnoteCharacters"/>
          <w:rStyle w:val="FootnoteReference"/>
        </w:rPr>
        <w:footnoteReference w:id="7"/>
      </w:r>
      <w:r>
        <w:rPr/>
        <w:t xml:space="preserve">  In 1998, the FERC Staff identified the following factors (combined with the previously mentioned market conditions) as the primary causes of extreme price volatility in electric markets:  (1) severe weather conditions during peak demand periods; (2) inadequate credit, price, and legal risk controls; and (3) inexperience among market participants.</w:t>
      </w:r>
      <w:r>
        <w:rPr>
          <w:rStyle w:val="FootnoteCharacters"/>
          <w:rStyle w:val="FootnoteReference"/>
        </w:rPr>
        <w:footnoteReference w:id="8"/>
      </w:r>
      <w:r>
        <w:rPr/>
        <w:t xml:space="preserve">  These factors have produced notorious declarations of financial insolvency;</w:t>
      </w:r>
      <w:r>
        <w:rPr>
          <w:rStyle w:val="FootnoteCharacters"/>
          <w:rStyle w:val="FootnoteReference"/>
        </w:rPr>
        <w:footnoteReference w:id="9"/>
      </w:r>
      <w:r>
        <w:rPr/>
        <w:t xml:space="preserve">  ripple effects causing other market players to breach their contractual obligations;</w:t>
      </w:r>
      <w:r>
        <w:rPr>
          <w:rStyle w:val="FootnoteCharacters"/>
          <w:rStyle w:val="FootnoteReference"/>
        </w:rPr>
        <w:footnoteReference w:id="10"/>
      </w:r>
      <w:r>
        <w:rPr/>
        <w:t xml:space="preserve"> and withdrawals from market participation.</w:t>
      </w:r>
      <w:r>
        <w:rPr>
          <w:rStyle w:val="FootnoteCharacters"/>
          <w:rStyle w:val="FootnoteReference"/>
        </w:rPr>
        <w:footnoteReference w:id="11"/>
      </w:r>
    </w:p>
    <w:p>
      <w:pPr>
        <w:pStyle w:val="Normal"/>
        <w:rPr/>
      </w:pPr>
      <w:r>
        <w:rPr/>
        <w:t xml:space="preserve"> </w:t>
      </w:r>
    </w:p>
    <w:p>
      <w:pPr>
        <w:pStyle w:val="BodyTextIndent"/>
        <w:rPr/>
      </w:pPr>
      <w:r>
        <w:rPr/>
        <w:t>A lack of  common essential legal terms in electricity transaction documentation and differences in the contract/tariff infrastructure become critical in times of market stress.</w:t>
      </w:r>
      <w:r>
        <w:rPr>
          <w:rStyle w:val="FootnoteCharacters"/>
          <w:rStyle w:val="FootnoteReference"/>
        </w:rPr>
        <w:footnoteReference w:id="12"/>
      </w:r>
      <w:r>
        <w:rPr/>
        <w:t xml:space="preserve">    But the transactions in today’s marketplace are implemented through a diverse array of  legal documentation which may impose different contractual obligations on buyers and sellers.</w:t>
      </w:r>
      <w:r>
        <w:rPr>
          <w:rStyle w:val="FootnoteCharacters"/>
          <w:rStyle w:val="FootnoteReference"/>
        </w:rPr>
        <w:footnoteReference w:id="13"/>
      </w:r>
      <w:r>
        <w:rPr/>
        <w:t xml:space="preserve"> Often the varied agreements inconsistently address important trading issues such as treatment of oral transactions, confirmation processes, allocation of  Force Majeure risk, credit assurances, and payment netting.  Traditional utility contract and tariff forms based on unilateral, regulated service offering formats often lack the credit and legal controls (</w:t>
      </w:r>
      <w:r>
        <w:rPr>
          <w:i/>
        </w:rPr>
        <w:t>i.e.</w:t>
      </w:r>
      <w:r>
        <w:rPr/>
        <w:t>, default and remedy provisions) needed to address the risks inherent in today's competitive and volatile electricity market.</w:t>
      </w:r>
      <w:r>
        <w:rPr>
          <w:rStyle w:val="FootnoteCharacters"/>
          <w:rStyle w:val="FootnoteReference"/>
        </w:rPr>
        <w:footnoteReference w:id="14"/>
      </w:r>
      <w:r>
        <w:rPr/>
        <w:t xml:space="preserve">  Also, the utility-based contract and tariff structures contain asymmetric terms which raise issues about whether the terms of a tariff or a transaction govern. To be useful in today’s competitive power markets, trading contracts have to be very precisely drafted so that parties know exactly what their rights and remedies are because they will be tested often in the volatile bulk power market.</w:t>
      </w:r>
    </w:p>
    <w:p>
      <w:pPr>
        <w:pStyle w:val="BodyTextIndent"/>
        <w:rPr/>
      </w:pPr>
      <w:r>
        <w:rPr/>
      </w:r>
    </w:p>
    <w:p>
      <w:pPr>
        <w:pStyle w:val="BodyTextIndent"/>
        <w:rPr/>
      </w:pPr>
      <w:r>
        <w:rPr/>
        <w:t>Wholesale power market participants assume incorrectly that they buy and sell the same products because their traders speak in common commercial terminology (</w:t>
      </w:r>
      <w:r>
        <w:rPr>
          <w:i/>
        </w:rPr>
        <w:t>e.g</w:t>
      </w:r>
      <w:r>
        <w:rPr/>
        <w:t>. “50MW on-peak, into Cinergy, for July-August”).When market participants think they are trading the same product, they treat transactions as identical “hedges” for one another and the bulk power subject to these transactions often changes hands several times through multiple transaction (“daisy-chain”) trades.</w:t>
      </w:r>
      <w:r>
        <w:rPr>
          <w:rStyle w:val="FootnoteCharacters"/>
          <w:rStyle w:val="FootnoteReference"/>
        </w:rPr>
        <w:footnoteReference w:id="15"/>
      </w:r>
      <w:r>
        <w:rPr/>
        <w:t xml:space="preserve">  If counterparties have differing contract infrastructures (or if they have differing assumptions about an “industry standard” that is not defined), in reality there are different deals in these transaction chains.  For example, Party B cannot purchase electricity from Party A that is subject to different </w:t>
      </w:r>
      <w:r>
        <w:rPr>
          <w:i/>
        </w:rPr>
        <w:t xml:space="preserve">force majeure </w:t>
      </w:r>
      <w:r>
        <w:rPr/>
        <w:t xml:space="preserve">or other excuses for non-performance than Party B’s sale to Party C.  If these terms and conditions do differ, then the legal nature of the product has changed as it moves through the transaction chain.  </w:t>
      </w:r>
    </w:p>
    <w:p>
      <w:pPr>
        <w:pStyle w:val="BodyTextIndent"/>
        <w:rPr/>
      </w:pPr>
      <w:r>
        <w:rPr/>
      </w:r>
    </w:p>
    <w:p>
      <w:pPr>
        <w:pStyle w:val="BodyTextIndent"/>
        <w:rPr/>
      </w:pPr>
      <w:r>
        <w:rPr/>
        <w:t>Counsel and risk managers for marketing operations must ensure that the deals struck on the trading floor are in fact exactly what the power traders understood them to be.  Moreover, the underlying legal documents in use must provide certainty that when problems occur, the economic benefit of the transactions struck with counterparties will be preserved.</w:t>
      </w:r>
      <w:r>
        <w:rPr>
          <w:rStyle w:val="FootnoteCharacters"/>
          <w:rStyle w:val="FootnoteReference"/>
        </w:rPr>
        <w:footnoteReference w:id="16"/>
      </w:r>
      <w:r>
        <w:rPr/>
        <w:t xml:space="preserve">  The cornerstones of a successful risk management program require: (1) a sophisticated master agreement with each trading counterpart that provides credit enhancement in the form of collateral or guarantees and close-out netting; (2) a sophisticated internal tracking system to measure, manage and control trading activity risks; and (3) risk management policies followed by highly-trained individuals who have the knowledge to use the organization’s risk management tools.</w:t>
      </w:r>
      <w:r>
        <w:rPr>
          <w:rStyle w:val="FootnoteCharacters"/>
          <w:rStyle w:val="FootnoteReference"/>
        </w:rPr>
        <w:footnoteReference w:id="17"/>
      </w:r>
      <w:r>
        <w:rPr/>
        <w:t xml:space="preserve">  The EEI-NEM Master Agreement was designed to be used, and is in use, as a sophisticated power marketing risk management tool.</w:t>
      </w:r>
    </w:p>
    <w:p>
      <w:pPr>
        <w:pStyle w:val="Normal"/>
        <w:rPr/>
      </w:pPr>
      <w:r>
        <w:rPr/>
      </w:r>
    </w:p>
    <w:p>
      <w:pPr>
        <w:pStyle w:val="Heading1"/>
        <w:ind w:hanging="0" w:start="0"/>
        <w:rPr/>
      </w:pPr>
      <w:r>
        <w:rPr/>
        <w:t>III.  EEI-NEM Contract Development Process</w:t>
      </w:r>
    </w:p>
    <w:p>
      <w:pPr>
        <w:pStyle w:val="Normal"/>
        <w:rPr/>
      </w:pPr>
      <w:r>
        <w:rPr/>
      </w:r>
    </w:p>
    <w:p>
      <w:pPr>
        <w:pStyle w:val="Normal"/>
        <w:ind w:firstLine="720" w:end="0"/>
        <w:rPr/>
      </w:pPr>
      <w:r>
        <w:rPr/>
        <w:t>The Master Agreement reflects the combined efforts of a small drafting committee and larger working group that includes companies responsible for 80% of all electricity traded in the United States.</w:t>
      </w:r>
      <w:r>
        <w:rPr>
          <w:rStyle w:val="FootnoteCharacters"/>
          <w:rStyle w:val="FootnoteReference"/>
        </w:rPr>
        <w:footnoteReference w:id="18"/>
      </w:r>
      <w:r>
        <w:rPr/>
        <w:t xml:space="preserve">   Much credit for initiating the Master Agreement development process is due Mark E. Haedicke, Managing Director and General Counsel of Enron North America Corp.</w:t>
      </w:r>
      <w:r>
        <w:rPr>
          <w:rStyle w:val="FootnoteCharacters"/>
          <w:rStyle w:val="FootnoteReference"/>
        </w:rPr>
        <w:footnoteReference w:id="19"/>
      </w:r>
      <w:r>
        <w:rPr/>
        <w:t xml:space="preserve">  In the Fall of 1998, he encouraged EEI to facilitate a power contract standardization initiative with the participation of EEI’s utility members, their affiliated power producers and power marketers.   EEI invited members of the National Energy Marketers Association (NEM) to collaborate since NEM also had started a standardization project.</w:t>
      </w:r>
      <w:r>
        <w:rPr>
          <w:rStyle w:val="FootnoteCharacters"/>
          <w:rStyle w:val="FootnoteReference"/>
        </w:rPr>
        <w:footnoteReference w:id="20"/>
      </w:r>
      <w:r>
        <w:rPr/>
        <w:t xml:space="preserve">  Both organizations realized that widespread commercial acceptance of a standard contract would require the input and balancing of interests from all industry segments. </w:t>
      </w:r>
    </w:p>
    <w:p>
      <w:pPr>
        <w:pStyle w:val="Normal"/>
        <w:ind w:firstLine="720" w:end="0"/>
        <w:rPr/>
      </w:pPr>
      <w:r>
        <w:rPr/>
      </w:r>
    </w:p>
    <w:p>
      <w:pPr>
        <w:pStyle w:val="Normal"/>
        <w:rPr/>
      </w:pPr>
      <w:r>
        <w:rPr/>
        <w:tab/>
        <w:t>Work on the Master Agreement commenced at the working group kick-off meeting on January 29, 1999 at EEI’s offices.  It was there that the working group identified the essential components of a standard wholesale electric contract and established a drafting committee to precisely define standardized terms.  The drafting committee completed the bulk of the work on the Master Agreement during the first three quarters of 1999.  During this time, the Committee presented proposed consensus terms and conditions to the larger working group for discussion and adoption and presented various contentious issues to the group for resolution.  A consensus “lawyers draft” was circulated to the industry for review and comment in October 1999.  A critical, but unresolved issue at that point, was the precise definition of the products that would be traded under the Master Agreement.</w:t>
      </w:r>
    </w:p>
    <w:p>
      <w:pPr>
        <w:pStyle w:val="Normal"/>
        <w:rPr/>
      </w:pPr>
      <w:r>
        <w:rPr/>
      </w:r>
    </w:p>
    <w:p>
      <w:pPr>
        <w:pStyle w:val="Normal"/>
        <w:rPr/>
      </w:pPr>
      <w:r>
        <w:rPr/>
        <w:tab/>
        <w:t>The next step in the development of the Master Agreement was to determine whether the terms created by the lawyers were compatible with the power marketing practices actually followed by their clients.  Traders and risk managers from the organizations participating in the working group joined the lawyers to finish the Master Agreement product definitions and fine tune its credit provisions.</w:t>
      </w:r>
      <w:r>
        <w:rPr>
          <w:rStyle w:val="FootnoteCharacters"/>
          <w:rStyle w:val="FootnoteReference"/>
        </w:rPr>
        <w:footnoteReference w:id="21"/>
      </w:r>
      <w:r>
        <w:rPr/>
        <w:t xml:space="preserve">   A tremendous amount of common understanding resulted as the expanded working group tried to document what their traders and risk managers said they were doing every day.</w:t>
      </w:r>
      <w:r>
        <w:rPr>
          <w:rStyle w:val="FootnoteCharacters"/>
          <w:rStyle w:val="FootnoteReference"/>
        </w:rPr>
        <w:footnoteReference w:id="22"/>
      </w:r>
      <w:r>
        <w:rPr/>
        <w:t xml:space="preserve">    These working group meetings permitted the drafting group to further minimize the risk facing what traders were doing by precisely defining standard products and risk management procedures based on sound existing commercial practices.  The first fully functional version of the Master Agreement (Version 2.1) was released in Spring 2000.</w:t>
      </w:r>
    </w:p>
    <w:p>
      <w:pPr>
        <w:pStyle w:val="Normal"/>
        <w:rPr/>
      </w:pPr>
      <w:r>
        <w:rPr/>
      </w:r>
    </w:p>
    <w:p>
      <w:pPr>
        <w:pStyle w:val="BodyTextIndent"/>
        <w:rPr/>
      </w:pPr>
      <w:r>
        <w:rPr/>
        <w:t>In addition, the working group conducted a series of outreach activities, intended to inform the industry  and regulators about the benefits and use of the Master Agreement and to maximize feedback about its provisions.</w:t>
      </w:r>
      <w:r>
        <w:rPr>
          <w:rStyle w:val="FootnoteCharacters"/>
          <w:rStyle w:val="FootnoteReference"/>
        </w:rPr>
        <w:footnoteReference w:id="23"/>
      </w:r>
      <w:r>
        <w:rPr/>
        <w:t xml:space="preserve">  Information about the Master Agreement and related meetings was (and is) disseminated through an Internet website and e-mail listserver maintained by EEI.</w:t>
      </w:r>
      <w:r>
        <w:rPr>
          <w:rStyle w:val="FootnoteCharacters"/>
          <w:rStyle w:val="FootnoteReference"/>
        </w:rPr>
        <w:footnoteReference w:id="24"/>
      </w:r>
    </w:p>
    <w:p>
      <w:pPr>
        <w:pStyle w:val="Normal"/>
        <w:rPr/>
      </w:pPr>
      <w:r>
        <w:rPr/>
        <w:t xml:space="preserve"> </w:t>
      </w:r>
    </w:p>
    <w:p>
      <w:pPr>
        <w:pStyle w:val="Heading1"/>
        <w:ind w:hanging="0" w:start="0"/>
        <w:rPr/>
      </w:pPr>
      <w:r>
        <w:rPr/>
        <w:t>IV.</w:t>
        <w:tab/>
        <w:t>Anatomy of the EEI-NEM Master Agreement</w:t>
      </w:r>
    </w:p>
    <w:p>
      <w:pPr>
        <w:pStyle w:val="Normal"/>
        <w:rPr/>
      </w:pPr>
      <w:r>
        <w:rPr/>
      </w:r>
    </w:p>
    <w:p>
      <w:pPr>
        <w:pStyle w:val="Heading2"/>
        <w:ind w:hanging="0" w:start="0"/>
        <w:rPr/>
      </w:pPr>
      <w:r>
        <w:rPr/>
        <w:t>A.</w:t>
        <w:tab/>
        <w:t xml:space="preserve"> Overview</w:t>
      </w:r>
    </w:p>
    <w:p>
      <w:pPr>
        <w:pStyle w:val="BodyTextIndent"/>
        <w:rPr/>
      </w:pPr>
      <w:r>
        <w:rPr/>
      </w:r>
    </w:p>
    <w:p>
      <w:pPr>
        <w:pStyle w:val="BodyTextIndent"/>
        <w:rPr/>
      </w:pPr>
      <w:r>
        <w:rPr/>
        <w:t>The Master Agreement has three principal components:  (1)  a Cover Sheet, (2) the General Terms and Conditions, and (3) a form Confirmation Letter (Exhibit A).  Schedule P, included in the general terms and conditions, contains precise definitions of standardized products.</w:t>
      </w:r>
      <w:r>
        <w:rPr>
          <w:rStyle w:val="FootnoteCharacters"/>
          <w:rStyle w:val="FootnoteReference"/>
        </w:rPr>
        <w:footnoteReference w:id="25"/>
      </w:r>
      <w:r>
        <w:rPr/>
        <w:t xml:space="preserve">  Schedule M, also included in the general terms and conditions, adds supplemental terms for electric cooperative or public power counterparties.</w:t>
      </w:r>
      <w:r>
        <w:rPr>
          <w:rStyle w:val="FootnoteCharacters"/>
          <w:rStyle w:val="FootnoteReference"/>
        </w:rPr>
        <w:footnoteReference w:id="26"/>
      </w:r>
      <w:r>
        <w:rPr/>
        <w:t xml:space="preserve">  The latest version of the Master Agreement is reproduced in full as Appendix A to this article.  Unless otherwise noted, all citations to Article numbers, Section numbers and Schedules refer to Appendix A.</w:t>
      </w:r>
    </w:p>
    <w:p>
      <w:pPr>
        <w:pStyle w:val="Normal"/>
        <w:ind w:firstLine="720" w:end="0"/>
        <w:rPr/>
      </w:pPr>
      <w:r>
        <w:rPr/>
      </w:r>
    </w:p>
    <w:p>
      <w:pPr>
        <w:pStyle w:val="Normal"/>
        <w:ind w:firstLine="720" w:end="0"/>
        <w:rPr/>
      </w:pPr>
      <w:r>
        <w:rPr/>
        <w:t>The Master Agreement standardizes the core terms and conditions needed to establish a fully bilateral physical forward and option contract trading relationship.  Its “umbrella” general terms and conditions apply to all transactions executed between each pair of trading counterparties.</w:t>
      </w:r>
      <w:r>
        <w:rPr>
          <w:rStyle w:val="FootnoteCharacters"/>
          <w:rStyle w:val="FootnoteReference"/>
        </w:rPr>
        <w:footnoteReference w:id="27"/>
      </w:r>
      <w:r>
        <w:rPr/>
        <w:t xml:space="preserve">  Applying standard terms to each transaction should dramatically reduce the business risks in wholesale electricity trading by establishing certainty as to the reciprocal rights and obligations of each trading partner.  Each party knows what performance is required of itself and its counterparty under the contract; and the remedies available when a counterparty does not perform.  A commonly accepted standard contract also increases the ability to put a contract in place quickly with a counterparty since there are fewer provisions to review.</w:t>
      </w:r>
    </w:p>
    <w:p>
      <w:pPr>
        <w:pStyle w:val="Normal"/>
        <w:ind w:firstLine="720" w:end="0"/>
        <w:rPr/>
      </w:pPr>
      <w:r>
        <w:rPr/>
      </w:r>
    </w:p>
    <w:p>
      <w:pPr>
        <w:pStyle w:val="Normal"/>
        <w:ind w:firstLine="720" w:end="0"/>
        <w:rPr/>
      </w:pPr>
      <w:r>
        <w:rPr/>
        <w:t>In addition, the Master Agreement promotes liquidity in the marketplace by permitting binding oral transactions of  commonly understood products that are precisely  defined in Schedule P of the contract.</w:t>
      </w:r>
      <w:r>
        <w:rPr>
          <w:rStyle w:val="FootnoteCharacters"/>
          <w:rStyle w:val="FootnoteReference"/>
        </w:rPr>
        <w:footnoteReference w:id="28"/>
      </w:r>
      <w:r>
        <w:rPr/>
        <w:t xml:space="preserve">  To avoid any disagreements over a transaction and to achieve finality, the Master Agreement incorporates specific written confirmation procedures which are commonly used in the industry.  Having clear procedures and legal terms specified in a master contract structure permits traders on the floor to focus upon the basic negotiable elements of a transaction (</w:t>
      </w:r>
      <w:r>
        <w:rPr>
          <w:i/>
        </w:rPr>
        <w:t>e.g.,</w:t>
      </w:r>
      <w:r>
        <w:rPr/>
        <w:t xml:space="preserve"> price, quantity, duration and delivery point).</w:t>
      </w:r>
      <w:r>
        <w:rPr>
          <w:rStyle w:val="FootnoteCharacters"/>
          <w:rStyle w:val="FootnoteReference"/>
        </w:rPr>
        <w:footnoteReference w:id="29"/>
      </w:r>
      <w:r>
        <w:rPr/>
        <w:t xml:space="preserve">  Also, having standardized product definitions provides certainty for transmission schedulers because they know what actions they must take in the event of a curtailment or transmission unavailability.</w:t>
      </w:r>
    </w:p>
    <w:p>
      <w:pPr>
        <w:pStyle w:val="Normal"/>
        <w:ind w:firstLine="720" w:end="0"/>
        <w:rPr/>
      </w:pPr>
      <w:r>
        <w:rPr/>
      </w:r>
    </w:p>
    <w:p>
      <w:pPr>
        <w:pStyle w:val="Normal"/>
        <w:ind w:firstLine="720" w:end="0"/>
        <w:rPr/>
      </w:pPr>
      <w:r>
        <w:rPr/>
        <w:t>Finally, the Master Agreement can be readily adapted for variations in product requirements, counterparty circumstances and transaction specifics.  A flexible, “modular” structure lets parties select on the Cover Sheet a variety of optional standard terms that they wish to apply in the Master Agreement.  Parties also may add customized supplemental agreements to the Cover Sheet and document transaction specific requirements in the written confirmation.   Thus, the terms of each transaction are governed by both the Master Agreement; and all transactions, plus any supplemental schedules (including accepted written transaction confirmations), each party’s market-based tariff, and any credit support arrangements with the counterparty, form a single integrated agreement.</w:t>
      </w:r>
      <w:r>
        <w:rPr>
          <w:rStyle w:val="FootnoteCharacters"/>
          <w:rStyle w:val="FootnoteReference"/>
        </w:rPr>
        <w:footnoteReference w:id="30"/>
      </w:r>
    </w:p>
    <w:p>
      <w:pPr>
        <w:pStyle w:val="BodyTextIndent"/>
        <w:rPr/>
      </w:pPr>
      <w:r>
        <w:rPr/>
      </w:r>
    </w:p>
    <w:p>
      <w:pPr>
        <w:pStyle w:val="Normal"/>
        <w:rPr/>
      </w:pPr>
      <w:r>
        <w:rPr/>
      </w:r>
    </w:p>
    <w:p>
      <w:pPr>
        <w:pStyle w:val="Heading2"/>
        <w:ind w:hanging="0" w:start="0"/>
        <w:rPr/>
      </w:pPr>
      <w:r>
        <w:rPr/>
        <w:t xml:space="preserve">B.  </w:t>
        <w:tab/>
        <w:t>Cover Sheet</w:t>
      </w:r>
    </w:p>
    <w:p>
      <w:pPr>
        <w:pStyle w:val="Normal"/>
        <w:rPr/>
      </w:pPr>
      <w:r>
        <w:rPr/>
      </w:r>
    </w:p>
    <w:p>
      <w:pPr>
        <w:pStyle w:val="Normal"/>
        <w:rPr/>
      </w:pPr>
      <w:r>
        <w:rPr/>
        <w:tab/>
        <w:t>The Cover Sheet to the Master Agreement contains all the information that is specific to the two parties who enter into a trading relationship under the Master Agreement.</w:t>
      </w:r>
      <w:r>
        <w:rPr>
          <w:rStyle w:val="FootnoteCharacters"/>
        </w:rPr>
        <w:t xml:space="preserve"> </w:t>
      </w:r>
      <w:r>
        <w:rPr>
          <w:rStyle w:val="FootnoteCharacters"/>
          <w:rStyle w:val="FootnoteReference"/>
        </w:rPr>
        <w:footnoteReference w:id="31"/>
      </w:r>
      <w:r>
        <w:rPr/>
        <w:t xml:space="preserve">  The Cover Sheet also provides flexibility by allowing elections for several optional standard provisions in the Master Agreement.  For example, parties can elect the types of information required for performance and credit assurances, and they also can specify collateral thresholds, credit downgrade conditions, and guarantor amounts that apply to their counterparty.</w:t>
      </w:r>
      <w:r>
        <w:rPr>
          <w:rStyle w:val="FootnoteCharacters"/>
          <w:rStyle w:val="FootnoteReference"/>
        </w:rPr>
        <w:footnoteReference w:id="32"/>
      </w:r>
      <w:r>
        <w:rPr/>
        <w:t xml:space="preserve">  The Cover Sheet’s options cross-reference the applicable sections of the general terms and conditions of the Master Agreement.  Further, the Cover Sheet is the place to identify any customized contract riders that modify the standardized general terms and conditions of the Master Agreement.</w:t>
      </w:r>
    </w:p>
    <w:p>
      <w:pPr>
        <w:pStyle w:val="Normal"/>
        <w:rPr/>
      </w:pPr>
      <w:r>
        <w:rPr/>
      </w:r>
    </w:p>
    <w:p>
      <w:pPr>
        <w:pStyle w:val="Heading2"/>
        <w:ind w:hanging="0" w:start="0"/>
        <w:rPr/>
      </w:pPr>
      <w:r>
        <w:rPr/>
        <w:t>C.</w:t>
        <w:tab/>
        <w:t>Let’s Make a Deal - Formation of A Transaction</w:t>
      </w:r>
    </w:p>
    <w:p>
      <w:pPr>
        <w:pStyle w:val="Heading3"/>
        <w:rPr/>
      </w:pPr>
      <w:r>
        <w:rPr/>
        <w:t>1.</w:t>
        <w:tab/>
        <w:t>Oral Trading</w:t>
      </w:r>
    </w:p>
    <w:p>
      <w:pPr>
        <w:pStyle w:val="EndnoteText"/>
        <w:rPr/>
      </w:pPr>
      <w:r>
        <w:rPr/>
      </w:r>
    </w:p>
    <w:p>
      <w:pPr>
        <w:pStyle w:val="Normal"/>
        <w:ind w:firstLine="720" w:end="0"/>
        <w:rPr/>
      </w:pPr>
      <w:r>
        <w:rPr/>
        <w:t>Power marketers estimate that about 90 per cent of their competitive wholesale electric transactions are made over the telephone between traders.</w:t>
      </w:r>
      <w:r>
        <w:rPr>
          <w:rStyle w:val="FootnoteCharacters"/>
          <w:rStyle w:val="FootnoteReference"/>
        </w:rPr>
        <w:footnoteReference w:id="33"/>
      </w:r>
      <w:r>
        <w:rPr/>
        <w:t xml:space="preserve">  In today’s fast-paced, high volume and volatile trading environment, counterparties need certainty and finality for their executed transactions.  The drafters believe the transaction consummation procedures specified in the Article Two (Transaction Terms and Conditions of the Master Agreement) will facilitate marketing operations and increase electric market liquidity.  Under the Master Agreement an oral trade is binding at the time it is made.</w:t>
      </w:r>
      <w:r>
        <w:rPr>
          <w:rStyle w:val="FootnoteCharacters"/>
          <w:rStyle w:val="FootnoteReference"/>
        </w:rPr>
        <w:footnoteReference w:id="34"/>
      </w:r>
      <w:r>
        <w:rPr/>
        <w:t xml:space="preserve">  Binding oral agreements may be documented by a clearly defined written confirmation process.  Contractual certainty is further secured through a covenant that neither party will challenge a transaction based on the Statute of Frauds provisions of a particular jurisdiction or a party’s lack of authority to execute the trade.</w:t>
      </w:r>
      <w:r>
        <w:rPr>
          <w:rStyle w:val="FootnoteCharacters"/>
          <w:rStyle w:val="FootnoteReference"/>
        </w:rPr>
        <w:footnoteReference w:id="35"/>
      </w:r>
      <w:r>
        <w:rPr/>
        <w:t xml:space="preserve">     </w:t>
      </w:r>
    </w:p>
    <w:p>
      <w:pPr>
        <w:pStyle w:val="Normal"/>
        <w:rPr/>
      </w:pPr>
      <w:r>
        <w:rPr/>
      </w:r>
    </w:p>
    <w:p>
      <w:pPr>
        <w:pStyle w:val="Normal"/>
        <w:ind w:firstLine="720" w:end="0"/>
        <w:rPr/>
      </w:pPr>
      <w:r>
        <w:rPr/>
        <w:t>Recording of trade calls between counterparties is expressly authorized under the Master Agreement to document oral transactions.</w:t>
      </w:r>
      <w:r>
        <w:rPr>
          <w:rStyle w:val="FootnoteCharacters"/>
          <w:rStyle w:val="FootnoteReference"/>
        </w:rPr>
        <w:footnoteReference w:id="36"/>
      </w:r>
      <w:r>
        <w:rPr/>
        <w:t xml:space="preserve">  Trade call recording is a key risk management practice incorporated into the verification and confirmation processes used to monitor power marketing trade desk operations.  Trade tapes provide further contractual certainty and help resolve conflicts over oral transactions.</w:t>
      </w:r>
      <w:r>
        <w:rPr>
          <w:rStyle w:val="FootnoteCharacters"/>
          <w:rStyle w:val="FootnoteReference"/>
        </w:rPr>
        <w:footnoteReference w:id="37"/>
      </w:r>
      <w:r>
        <w:rPr/>
        <w:t xml:space="preserve">  The trade call recording provisions were drafted in recognition that some state criminal statutes require notification and/or express agreement to have persons’ conversations recorded over the telephone, even in an employment setting.</w:t>
      </w:r>
      <w:r>
        <w:rPr>
          <w:rStyle w:val="FootnoteCharacters"/>
          <w:rStyle w:val="FootnoteReference"/>
        </w:rPr>
        <w:footnoteReference w:id="38"/>
      </w:r>
      <w:r>
        <w:rPr/>
        <w:t xml:space="preserve">  Thus, the Master Agreement contains an agreement to provide any notices or to obtain any consents from a party’s officers and employees as may be required by statute.</w:t>
      </w:r>
    </w:p>
    <w:p>
      <w:pPr>
        <w:pStyle w:val="Normal"/>
        <w:rPr/>
      </w:pPr>
      <w:r>
        <w:rPr/>
      </w:r>
    </w:p>
    <w:p>
      <w:pPr>
        <w:pStyle w:val="Heading3"/>
        <w:rPr/>
      </w:pPr>
      <w:r>
        <w:rPr/>
        <w:t>2.</w:t>
        <w:tab/>
        <w:t>Confirmation Process</w:t>
      </w:r>
    </w:p>
    <w:p>
      <w:pPr>
        <w:pStyle w:val="Normal"/>
        <w:rPr/>
      </w:pPr>
      <w:r>
        <w:rPr/>
      </w:r>
    </w:p>
    <w:p>
      <w:pPr>
        <w:pStyle w:val="Normal"/>
        <w:ind w:firstLine="720" w:end="0"/>
        <w:rPr/>
      </w:pPr>
      <w:r>
        <w:rPr/>
        <w:t>The Master Agreement allows parties to use a precisely described process for sending and accepting written confirmations.  A written confirmation process is a routine risk management practice in energy trading. Written confirmations are intended to provide finality to oral transactions in order to avoid disputes by accurately reflecting the details of the oral deal. The written confirmation process prevents unilateral alteration of an oral transaction and the underlying terms in the Master Agreement without the express or implied consent of a counterparty.  Confirmations are not mandatory, however, and oral transactions are still binding even if neither party sends a confirmation.</w:t>
      </w:r>
      <w:r>
        <w:rPr>
          <w:rStyle w:val="FootnoteCharacters"/>
          <w:rStyle w:val="FootnoteReference"/>
        </w:rPr>
        <w:footnoteReference w:id="39"/>
      </w:r>
      <w:r>
        <w:rPr/>
        <w:t xml:space="preserve">  If either party requires a written confirmation, it must be expressly requested on the trade call.</w:t>
      </w:r>
      <w:r>
        <w:rPr>
          <w:rStyle w:val="FootnoteCharacters"/>
          <w:rStyle w:val="FootnoteReference"/>
        </w:rPr>
        <w:footnoteReference w:id="40"/>
      </w:r>
    </w:p>
    <w:p>
      <w:pPr>
        <w:pStyle w:val="Normal"/>
        <w:ind w:firstLine="720" w:end="0"/>
        <w:rPr/>
      </w:pPr>
      <w:r>
        <w:rPr/>
      </w:r>
    </w:p>
    <w:p>
      <w:pPr>
        <w:pStyle w:val="Normal"/>
        <w:ind w:firstLine="720" w:end="0"/>
        <w:rPr/>
      </w:pPr>
      <w:r>
        <w:rPr/>
        <w:t>Section 2.3 of the Master Agreement describes the confirmation process.  The Master Agreement anticipates that the Seller will initiate the confirmation process by sending a written confirmation by facsimile to the Buyer.</w:t>
      </w:r>
      <w:r>
        <w:rPr>
          <w:rStyle w:val="FootnoteCharacters"/>
        </w:rPr>
        <w:t xml:space="preserve"> </w:t>
      </w:r>
      <w:r>
        <w:rPr>
          <w:rStyle w:val="FootnoteCharacters"/>
          <w:rStyle w:val="FootnoteReference"/>
        </w:rPr>
        <w:footnoteReference w:id="41"/>
      </w:r>
      <w:r>
        <w:rPr/>
        <w:t xml:space="preserve">   To be deemed timely, the Seller’s confirmation must be sent within three days after an oral transaction is made.  The Buyer then has two days to send the Seller a timely written objection to the confirmation’s description of the transaction.  If there is an objection, the parties will have to go back to the oral transaction (perhaps reviewing the trade tapes) to determine what was the deal agreed to.</w:t>
      </w:r>
      <w:r>
        <w:rPr>
          <w:rStyle w:val="FootnoteCharacters"/>
          <w:rStyle w:val="FootnoteReference"/>
        </w:rPr>
        <w:footnoteReference w:id="42"/>
      </w:r>
      <w:r>
        <w:rPr/>
        <w:t xml:space="preserve">  If the Seller accepts the Buyer’s timely objection, the confirmation may then be revised and signed by Seller.  In that case, the mutually agreed to confirmation terms are deemed binding, and will control over the general terms and conditions of the Master Agreement.  If the Seller does not accept the Buyer’s timely objection, it will not invalidate an oral transaction and parties may then seek to enforce their version of the bargain through some dispute resolution process.  The Buyer will be deemed to have accepted the terms of the Seller’s written confirmation if the Buyer does not send a timely written objection. </w:t>
      </w:r>
    </w:p>
    <w:p>
      <w:pPr>
        <w:pStyle w:val="Normal"/>
        <w:ind w:firstLine="720" w:end="0"/>
        <w:rPr/>
      </w:pPr>
      <w:r>
        <w:rPr/>
      </w:r>
    </w:p>
    <w:p>
      <w:pPr>
        <w:pStyle w:val="Normal"/>
        <w:ind w:firstLine="720" w:end="0"/>
        <w:rPr/>
      </w:pPr>
      <w:r>
        <w:rPr/>
        <w:t xml:space="preserve">If three days pass after an oral transaction and the Seller still has not sent a confirmation, the Buyer may do so, which gives the Seller two days to make a timely objection to any terms included in Buyers written confirmation.  However, Buyer’s disagreement to Seller’s objections does not invalidate an oral transaction.  The Seller  will be deemed to have accepted the terms of the Buyer’s written confirmation if the Seller does not send a timely written objection.  Parties often send a confirmation when they are both a Buyer and Seller.  By default, the Master Agreement deems a timely  Seller’s confirmation to which a Buyer does not object to be controlling over the Buyer.  Should the Seller, however, fail to send a confirmation within three days and the Buyer’s confirmation is sent first, the Buyer’s confirmation will be controlling.   </w:t>
      </w:r>
    </w:p>
    <w:p>
      <w:pPr>
        <w:pStyle w:val="Normal"/>
        <w:ind w:firstLine="720" w:end="0"/>
        <w:rPr/>
      </w:pPr>
      <w:r>
        <w:rPr/>
      </w:r>
    </w:p>
    <w:p>
      <w:pPr>
        <w:pStyle w:val="BodyTextIndent"/>
        <w:rPr/>
      </w:pPr>
      <w:r>
        <w:rPr/>
        <w:t>An optional procedure lets the parties elect to require express oral or written consent before any additional confirmation terms, other than those relating to the essential commercial terms of a transaction (e.g. price), can modify or supplement the general terms and conditions of the Master Agreement.</w:t>
      </w:r>
      <w:r>
        <w:rPr>
          <w:rStyle w:val="FootnoteCharacters"/>
          <w:rStyle w:val="FootnoteReference"/>
        </w:rPr>
        <w:footnoteReference w:id="43"/>
      </w:r>
      <w:r>
        <w:rPr/>
        <w:t xml:space="preserve">  This provision was adopted in response to the concerns of some working group members that their companies’ internal confirmation processing controls would not detect objectionable added terms and conditions within the Master Agreement’s default two day deadline.</w:t>
      </w:r>
      <w:r>
        <w:rPr>
          <w:rStyle w:val="FootnoteCharacters"/>
          <w:rStyle w:val="FootnoteReference"/>
        </w:rPr>
        <w:footnoteReference w:id="44"/>
      </w:r>
      <w:r>
        <w:rPr/>
        <w:t xml:space="preserve">  </w:t>
      </w:r>
    </w:p>
    <w:p>
      <w:pPr>
        <w:pStyle w:val="Normal"/>
        <w:rPr/>
      </w:pPr>
      <w:r>
        <w:rPr/>
      </w:r>
    </w:p>
    <w:p>
      <w:pPr>
        <w:pStyle w:val="Heading3"/>
        <w:numPr>
          <w:ilvl w:val="0"/>
          <w:numId w:val="2"/>
        </w:numPr>
        <w:rPr/>
      </w:pPr>
      <w:r>
        <w:rPr/>
        <w:t>Obligations and Deliveries</w:t>
      </w:r>
    </w:p>
    <w:p>
      <w:pPr>
        <w:pStyle w:val="Normal"/>
        <w:rPr/>
      </w:pPr>
      <w:r>
        <w:rPr/>
      </w:r>
    </w:p>
    <w:p>
      <w:pPr>
        <w:pStyle w:val="Normal"/>
        <w:rPr/>
      </w:pPr>
      <w:r>
        <w:rPr/>
        <w:tab/>
        <w:t>The Master Agreement clearly delineates the parties’ obligations to perform with respect to each transaction.  The seller is responsible for selling and delivering the specified quantity of product at the agreed delivery point.  Further, the Seller is responsible for any costs associated with the product or its delivery incurred up to the delivery point.  The Buyer is obligated to receive the product at the designated delivery point and pay the price agreed to for the transaction plus all costs associated with the product or its receipt at and from the delivery point.</w:t>
      </w:r>
      <w:r>
        <w:rPr>
          <w:rStyle w:val="FootnoteCharacters"/>
          <w:rStyle w:val="FootnoteReference"/>
        </w:rPr>
        <w:footnoteReference w:id="45"/>
      </w:r>
      <w:r>
        <w:rPr/>
        <w:t xml:space="preserve">  The Seller is responsible for  transmission service to the delivery point and the Buyer is responsible for transmission service at and away from the delivery point.  These responsibilities include scheduling transmission service with designated transmission providers either under terms specified in the transaction or according to the practice of the transmission providers (i.e., according to the provider's Open Access Transmission Tariff).</w:t>
      </w:r>
      <w:r>
        <w:rPr>
          <w:rStyle w:val="FootnoteCharacters"/>
          <w:rStyle w:val="FootnoteReference"/>
        </w:rPr>
        <w:footnoteReference w:id="46"/>
      </w:r>
    </w:p>
    <w:p>
      <w:pPr>
        <w:pStyle w:val="Normal"/>
        <w:rPr/>
      </w:pPr>
      <w:r>
        <w:rPr/>
      </w:r>
      <w:r>
        <w:br w:type="page"/>
      </w:r>
    </w:p>
    <w:p>
      <w:pPr>
        <w:pStyle w:val="Heading3"/>
        <w:keepNext w:val="false"/>
        <w:rPr/>
      </w:pPr>
      <w:r>
        <w:rPr/>
        <w:t>4.</w:t>
        <w:tab/>
        <w:t>Force Majeure</w:t>
      </w:r>
    </w:p>
    <w:p>
      <w:pPr>
        <w:pStyle w:val="BodyTextIndent"/>
        <w:rPr/>
      </w:pPr>
      <w:r>
        <w:rPr/>
      </w:r>
    </w:p>
    <w:p>
      <w:pPr>
        <w:pStyle w:val="BodyTextIndent"/>
        <w:rPr/>
      </w:pPr>
      <w:r>
        <w:rPr/>
        <w:t>An excuse from performance due to Force Majeure is one of the limited exceptions to a party’s obligation to perform under the Master Agreement.  The other exceptions are included in specifications of a transaction’s products which may be found in the standardized product definitions in Schedule P or in customized products documented in a confirmation letter.  Indeed, the Master Agreement is structured so that the product specifications overlay the ability to claim Force Majeure.</w:t>
      </w:r>
      <w:r>
        <w:rPr>
          <w:rStyle w:val="FootnoteCharacters"/>
          <w:rStyle w:val="FootnoteReference"/>
        </w:rPr>
        <w:footnoteReference w:id="47"/>
      </w:r>
      <w:r>
        <w:rPr/>
        <w:t xml:space="preserve">  Placing limitations on performance exceptions reflects a philosophy in the Working Group that, in a competitive market, it is up to the participants to seek appropriate assurances of performance.</w:t>
      </w:r>
      <w:r>
        <w:rPr>
          <w:rStyle w:val="FootnoteCharacters"/>
          <w:rStyle w:val="FootnoteReference"/>
        </w:rPr>
        <w:footnoteReference w:id="48"/>
      </w:r>
      <w:r>
        <w:rPr/>
        <w:t xml:space="preserve">   Many regulated utility members of the Working Group found this philosophy difficult to accept because the regulatory process has excused them from performance when isolated random events within their franchised service territories disrupts service.  </w:t>
      </w:r>
    </w:p>
    <w:p>
      <w:pPr>
        <w:pStyle w:val="BodyTextIndent"/>
        <w:rPr/>
      </w:pPr>
      <w:r>
        <w:rPr/>
      </w:r>
    </w:p>
    <w:p>
      <w:pPr>
        <w:pStyle w:val="BodyTextIndent"/>
        <w:rPr/>
      </w:pPr>
      <w:r>
        <w:rPr/>
        <w:t>These differing views made the Force Majeure section, as well as the service exceptions in the product definitions, the most controversial provisions that the Working Group addressed.  Ultimately, the competitive market view of  Force Majeure prevailed.  Force Majeure is defined very narrowly and the extensive “laundry list” of qualifying events found in many contracts and tariffs has been eliminated.  Instead, the Force Majeure definition is characterized by what it is not.  This approach was intentional in order to avoid any debate as to whether a party claiming Force Majeure truly was suffering from one or more of the events in a traditional Force Majeure definition’s “laundry list.” The drafters assume that in today’s more liquid, interconnected electricity market, only a truly catastrophic event makes it impossible to get power to or take power away from any given delivery point</w:t>
      </w:r>
      <w:r>
        <w:rPr>
          <w:rStyle w:val="FootnoteCharacters"/>
          <w:rStyle w:val="FootnoteReference"/>
        </w:rPr>
        <w:footnoteReference w:id="49"/>
      </w:r>
      <w:r>
        <w:rPr/>
        <w:t>.   Indeed, the Master Agreement Force Majeure definition fully embraces the traditional contract doctrine of impossibility.</w:t>
      </w:r>
      <w:r>
        <w:rPr>
          <w:rStyle w:val="FootnoteCharacters"/>
          <w:rStyle w:val="FootnoteReference"/>
        </w:rPr>
        <w:footnoteReference w:id="50"/>
      </w:r>
      <w:r>
        <w:rPr/>
        <w:t xml:space="preserve"> </w:t>
      </w:r>
    </w:p>
    <w:p>
      <w:pPr>
        <w:pStyle w:val="BodyTextIndent"/>
        <w:rPr/>
      </w:pPr>
      <w:r>
        <w:rPr/>
      </w:r>
    </w:p>
    <w:p>
      <w:pPr>
        <w:pStyle w:val="BodyTextIndent"/>
        <w:rPr/>
      </w:pPr>
      <w:r>
        <w:rPr/>
        <w:t>Accordingly, to claim a Force Majeure performance excuse, an event  must be unanticipated, unforeseen and beyond the reasonable control of the claiming party.</w:t>
      </w:r>
      <w:r>
        <w:rPr>
          <w:rStyle w:val="FootnoteCharacters"/>
          <w:rStyle w:val="FootnoteReference"/>
        </w:rPr>
        <w:footnoteReference w:id="51"/>
      </w:r>
      <w:r>
        <w:rPr/>
        <w:t xml:space="preserve">  Financial events (</w:t>
      </w:r>
      <w:r>
        <w:rPr>
          <w:i/>
        </w:rPr>
        <w:t xml:space="preserve">e.g., </w:t>
      </w:r>
      <w:r>
        <w:rPr/>
        <w:t>loss of markets or ability to obtain a better price) do not qualify.  Transmission curtailments or even Force Majeure under a transmission provider’s open access transmission tariff do not automatically excuse performance unless the claiming party has arranged for firm service and additional unanticipated, unforeseen circumstances would make non-performance impossible to avoid even if the party exercises due diligence.</w:t>
      </w:r>
      <w:r>
        <w:rPr>
          <w:rStyle w:val="FootnoteCharacters"/>
          <w:rStyle w:val="FootnoteReference"/>
        </w:rPr>
        <w:footnoteReference w:id="52"/>
      </w:r>
      <w:r>
        <w:rPr/>
        <w:t xml:space="preserve">  If a party can overcome the circumstances that bar performance by obtaining or selling electricity from other sources at the delivery point , it does not rise to level of the “gold plated” Force Majeure definition.</w:t>
      </w:r>
      <w:r>
        <w:rPr>
          <w:rStyle w:val="FootnoteCharacters"/>
          <w:rStyle w:val="FootnoteReference"/>
        </w:rPr>
        <w:footnoteReference w:id="53"/>
      </w:r>
    </w:p>
    <w:p>
      <w:pPr>
        <w:pStyle w:val="BodyTextIndent"/>
        <w:rPr/>
      </w:pPr>
      <w:r>
        <w:rPr/>
      </w:r>
      <w:r>
        <w:br w:type="page"/>
      </w:r>
    </w:p>
    <w:p>
      <w:pPr>
        <w:pStyle w:val="Heading3"/>
        <w:keepNext w:val="false"/>
        <w:rPr/>
      </w:pPr>
      <w:r>
        <w:rPr/>
        <w:t>4.</w:t>
        <w:tab/>
        <w:t>Standard Products</w:t>
      </w:r>
    </w:p>
    <w:p>
      <w:pPr>
        <w:pStyle w:val="BodyText"/>
        <w:rPr>
          <w:rFonts w:ascii="Times New Roman" w:hAnsi="Times New Roman" w:cs="Times New Roman"/>
          <w:sz w:val="24"/>
        </w:rPr>
      </w:pPr>
      <w:r>
        <w:rPr>
          <w:rFonts w:cs="Times New Roman" w:ascii="Times New Roman" w:hAnsi="Times New Roman"/>
          <w:sz w:val="24"/>
        </w:rPr>
        <w:t xml:space="preserve"> </w:t>
      </w:r>
    </w:p>
    <w:p>
      <w:pPr>
        <w:pStyle w:val="BodyTextIndent"/>
        <w:rPr/>
      </w:pPr>
      <w:r>
        <w:rPr/>
        <w:t xml:space="preserve"> </w:t>
      </w:r>
      <w:r>
        <w:rPr/>
        <w:t>The Master Agreement includes six precisely drafted common product definitions in Schedule P:  (1) the Non-Firm product, (2) the Unit Firm product, (3) the System Firm product, (4) the Firm (LD) product, (5) the Into __________ (the “Receiving Transmission Provider”), Seller’s Daily Choice product (the “Into” product), and (6) the Firm (No Force Majeure) product. The economic/legal benefits and obligations which underlie each product is an amalgamation of the product’s Schedule P definition, the remedies for an unexcused failure to deliver/receive a product specified in Article Four, the conditions for excused performance in the Article Three Force Majeure provision, and the limitations of damages in Article Seven.  Ultimately, the choice of product reflects a counterparty’s risk appetite, willingness to pay the price to avoid risk, and the relative importance of entering into physical transactions.  Pure trading entities tend to be indifferent as to whether a transaction ultimately has a physical or financial result, while load serving entities such as public utilities place a higher value on physical delivery because of native load, wholesale requirements, or system reliability obligations. To satisfy these varying needs, the confirmation document will let you append special trading or other transactional requirements under the Master Agreement.</w:t>
      </w:r>
      <w:r>
        <w:rPr>
          <w:rStyle w:val="FootnoteCharacters"/>
          <w:rStyle w:val="FootnoteReference"/>
        </w:rPr>
        <w:footnoteReference w:id="54"/>
      </w:r>
      <w:r>
        <w:rPr/>
        <w:t xml:space="preserve"> </w:t>
      </w:r>
    </w:p>
    <w:p>
      <w:pPr>
        <w:pStyle w:val="BodyText"/>
        <w:rPr>
          <w:rFonts w:ascii="Times New Roman" w:hAnsi="Times New Roman" w:cs="Times New Roman"/>
          <w:sz w:val="24"/>
        </w:rPr>
      </w:pPr>
      <w:r>
        <w:rPr>
          <w:rFonts w:cs="Times New Roman" w:ascii="Times New Roman" w:hAnsi="Times New Roman"/>
          <w:sz w:val="24"/>
        </w:rPr>
      </w:r>
    </w:p>
    <w:p>
      <w:pPr>
        <w:pStyle w:val="TOC3"/>
        <w:rPr/>
      </w:pPr>
      <w:r>
        <w:rPr/>
        <w:t>Description of Standard Products:</w:t>
      </w:r>
    </w:p>
    <w:p>
      <w:pPr>
        <w:pStyle w:val="Normal"/>
        <w:rPr/>
      </w:pPr>
      <w:r>
        <w:rPr/>
      </w:r>
    </w:p>
    <w:p>
      <w:pPr>
        <w:pStyle w:val="BodyTextIndent"/>
        <w:rPr/>
      </w:pPr>
      <w:r>
        <w:rPr>
          <w:b/>
        </w:rPr>
        <w:t>Non-Firm --</w:t>
      </w:r>
      <w:r>
        <w:rPr/>
        <w:t xml:space="preserve"> The Non-Firm product excuses failure to deliver or receive this product for any reason or no reason.  Thus, a failure to deliver or receive non-firm product would be excused if the price of obtaining the energy was unfavorable to either Buyer or Seller.</w:t>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b/>
        </w:rPr>
        <w:t xml:space="preserve">Unit Firm -- </w:t>
      </w:r>
      <w:r>
        <w:rPr/>
        <w:t>The Unit Firm product is intended to be supplied from a specified generator or group of generators.  A product supplied from the designated unit(s) must be delivered by the Seller as long as the unit(s) are in operation.  Failure to deliver when the unit(s) are operating makes the Seller liable for damages under Article Four.  If the unit(s) are not operating as a result of a Forced Outage, Seller’s performance is excused.</w:t>
      </w:r>
      <w:r>
        <w:rPr>
          <w:rStyle w:val="FootnoteCharacters"/>
          <w:rStyle w:val="FootnoteReference"/>
        </w:rPr>
        <w:footnoteReference w:id="55"/>
      </w:r>
      <w:r>
        <w:rPr>
          <w:rStyle w:val="FootnoteCharacters"/>
        </w:rPr>
        <w:t xml:space="preserve"> </w:t>
      </w:r>
      <w:r>
        <w:rPr/>
        <w:t xml:space="preserve"> The Seller also is excused either by a  Force Majeure event at the designated generating unit(s) that prevent Seller from performing or if the Buyer fails to perform its obligations.</w:t>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b/>
        </w:rPr>
        <w:t>System Firm --</w:t>
      </w:r>
      <w:r>
        <w:rPr/>
        <w:t xml:space="preserve"> The System Firm product is supplied from an identified system’s generating resources or pre-existing purchased power assets.  This product is today, one that is almost always delivered on a next hour or next day basis.  It is not used for long term supply for several months into the future.  System Firm has many defined reasons for  non-delivery, but it is more firm than non-firm.  For example, changes in market price cannot be an excuse for non-performance. By default, the Seller will use non-firm transmission service to the delivery point(s), although different transmission arrangements may be selected.   Seller’s performance is excused (1) if specific system resources are needed to maintain the integrity or stability of the system, (2) Buyer fails to perform, (3)  in the event of Force Majeure, (4) by a declaration of emergency by the applicable control area reliability council, or (5) by the interruption or curtailment of transmission to the delivery point(s).  Buyer’s performance is excused by (1) Force Majeure, (2) Seller’s failure to perform, or (3) interruption of curtailment of transmission from the delivery point(s). </w:t>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b/>
        </w:rPr>
        <w:t xml:space="preserve">Firm (LD) -- </w:t>
      </w:r>
      <w:r>
        <w:rPr/>
        <w:t>The Firm (LD) product currently trades more than any other in today’s wholesale electric market.  This is a single delivery point product which means that the basic obligations are on the Seller to deliver and the Buyer to receive the product at the designated delivery point.  Unless the parties negotiate otherwise, non-delivery or non-receipt of a Firm (LD) product for any reason other than Force Majeure requires the defaulting party to pay cover damages computed under Article Four.</w:t>
      </w:r>
      <w:r>
        <w:rPr>
          <w:rStyle w:val="FootnoteCharacters"/>
        </w:rPr>
        <w:t xml:space="preserve"> </w:t>
      </w:r>
      <w:r>
        <w:rPr>
          <w:rStyle w:val="FootnoteCharacters"/>
          <w:rStyle w:val="FootnoteReference"/>
        </w:rPr>
        <w:footnoteReference w:id="56"/>
      </w:r>
      <w:r>
        <w:rPr/>
        <w:t xml:space="preserve"> </w:t>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b/>
        </w:rPr>
        <w:t>Into _____________ (the “Receiving Transmission Provider”), Seller’s Daily Choice --</w:t>
      </w:r>
      <w:r>
        <w:rPr/>
        <w:t xml:space="preserve"> The Into product is the most commonly used product at liquid trading hubs.</w:t>
      </w:r>
      <w:r>
        <w:rPr>
          <w:rStyle w:val="FootnoteCharacters"/>
          <w:rStyle w:val="FootnoteReference"/>
        </w:rPr>
        <w:footnoteReference w:id="57"/>
      </w:r>
      <w:r>
        <w:rPr/>
        <w:t xml:space="preserve">  It requires the seller to deliver financially firm energy at an interconnection or interface either on a receiving transmission provider’s border or within the transmission provider’s control area, if the product is from a generation source within the control area.  The Into product is the most complex and controversial product addressed by the Working Group. </w:t>
      </w:r>
    </w:p>
    <w:p>
      <w:pPr>
        <w:pStyle w:val="BodyTextIndent"/>
        <w:rPr/>
      </w:pPr>
      <w:r>
        <w:rPr/>
      </w:r>
    </w:p>
    <w:p>
      <w:pPr>
        <w:pStyle w:val="BodyTextIndent"/>
        <w:rPr/>
      </w:pPr>
      <w:r>
        <w:rPr/>
        <w:t>The Into product is highly transmission driven. The Seller must have transmission service rights to designate a delivery point on a daily prescheduled basis in order to sell the Into product.</w:t>
      </w:r>
      <w:r>
        <w:rPr>
          <w:rStyle w:val="FootnoteCharacters"/>
          <w:rStyle w:val="FootnoteReference"/>
        </w:rPr>
        <w:footnoteReference w:id="58"/>
      </w:r>
      <w:r>
        <w:rPr/>
        <w:t xml:space="preserve">  Once the Seller designates a delivery point by notifying the Buyer, it sets the allocation of performance risk.  If “take away” transmission is unavailable to the Buyer at the designated interface, the Seller may be required to designate another interface (described as an Alternative Designated Interface or ADI) or designate a generation source inside the control area where transmission is available to the Buyer.</w:t>
      </w:r>
      <w:r>
        <w:rPr>
          <w:rStyle w:val="FootnoteCharacters"/>
          <w:rStyle w:val="FootnoteReference"/>
        </w:rPr>
        <w:footnoteReference w:id="59"/>
      </w:r>
      <w:r>
        <w:rPr/>
        <w:t xml:space="preserve"> This redesignation of delivery points may become an iterative process which obligates Seller to keep selecting ADIs until its obligation to deliver is deemed satisfied under the definition.  Consequently there is very little Force Majeure associated with this product.  Simply being unable to secure transmission will not excuse Seller’s or Buyer’s performance.</w:t>
      </w:r>
    </w:p>
    <w:p>
      <w:pPr>
        <w:pStyle w:val="BodyTextIndent"/>
        <w:rPr/>
      </w:pPr>
      <w:r>
        <w:rPr/>
      </w:r>
    </w:p>
    <w:p>
      <w:pPr>
        <w:pStyle w:val="BodyTextIndent"/>
        <w:rPr/>
      </w:pPr>
      <w:r>
        <w:rPr/>
        <w:t>If a transmission interruption or a generation outage occur, the Buyer’s and Seller’s obligations and risks depend on the following factors:  (1) whether the Buyer makes a timely request for and purchases firm transmission service;</w:t>
      </w:r>
      <w:r>
        <w:rPr>
          <w:rStyle w:val="FootnoteCharacters"/>
          <w:rStyle w:val="FootnoteReference"/>
        </w:rPr>
        <w:footnoteReference w:id="60"/>
      </w:r>
      <w:r>
        <w:rPr/>
        <w:t xml:space="preserve"> (2) whether firm transmission service is available at the designated interface or ADI; (3) whether Buyer purchases non-firm transmission service even though firm service was available; (4) whether the Buyer provides a timely notice that its transmission request was rejected to the Seller;</w:t>
      </w:r>
      <w:r>
        <w:rPr>
          <w:rStyle w:val="FootnoteCharacters"/>
          <w:rStyle w:val="FootnoteReference"/>
        </w:rPr>
        <w:footnoteReference w:id="61"/>
      </w:r>
      <w:r>
        <w:rPr/>
        <w:t xml:space="preserve">  and (5) whether Buyer attempts to take the product outside the market hub control area. </w:t>
      </w:r>
    </w:p>
    <w:p>
      <w:pPr>
        <w:pStyle w:val="BodyTextIndent"/>
        <w:rPr/>
      </w:pPr>
      <w:r>
        <w:rPr/>
      </w:r>
    </w:p>
    <w:p>
      <w:pPr>
        <w:pStyle w:val="BodyTextIndent"/>
        <w:rPr/>
      </w:pPr>
      <w:r>
        <w:rPr/>
        <w:t>A few examples will illustrate how these factors affect the parties’ obligations and risks.</w:t>
      </w:r>
      <w:r>
        <w:rPr>
          <w:rStyle w:val="FootnoteCharacters"/>
          <w:rStyle w:val="FootnoteReference"/>
        </w:rPr>
        <w:footnoteReference w:id="62"/>
      </w:r>
      <w:r>
        <w:rPr/>
        <w:t xml:space="preserve">  Assume the Buyer and Seller both purchase firm transmission service and the Buyer’s transmission is curtailed on delivery day.  As mentioned, the Seller must move to another interface (ADI) at the border or buy generation for delivery to Buyer within the market hub control area.  The Seller can require the Buyer to buy non-firm transmission (or firm, if available).  Each party will be responsible for any additional transmission costs incurred to reschedule to an ADI, since the interruption is due to the loss of firm transmission.</w:t>
      </w:r>
      <w:r>
        <w:rPr>
          <w:rStyle w:val="FootnoteCharacters"/>
          <w:rStyle w:val="FootnoteReference"/>
        </w:rPr>
        <w:footnoteReference w:id="63"/>
      </w:r>
      <w:r>
        <w:rPr/>
        <w:t xml:space="preserve">  If the Seller is unable to reschedule and deliver, than the Seller will owe damages to the Buyer computed under Article Four of the Master Agreement.</w:t>
      </w:r>
      <w:r>
        <w:rPr>
          <w:rStyle w:val="FootnoteCharacters"/>
          <w:rStyle w:val="FootnoteReference"/>
        </w:rPr>
        <w:footnoteReference w:id="64"/>
      </w:r>
      <w:r>
        <w:rPr/>
        <w:t xml:space="preserve">  The same result would occur if:  (1) Seller’s generation gets cut (except Seller pays all additional transmission costs); (2) Seller’s firm transmission gets cut (Seller and Buyer each pay their own additional transmission costs): (3) Seller’s non-firm transmission gets cut (Seller pays </w:t>
      </w:r>
      <w:r>
        <w:rPr>
          <w:i/>
        </w:rPr>
        <w:t>all</w:t>
      </w:r>
      <w:r>
        <w:rPr/>
        <w:t xml:space="preserve"> additional transmission costs).</w:t>
      </w:r>
      <w:r>
        <w:rPr>
          <w:rStyle w:val="FootnoteCharacters"/>
          <w:rStyle w:val="FootnoteReference"/>
        </w:rPr>
        <w:footnoteReference w:id="65"/>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t>In another scenario, the Buyer makes a timely request for firm transmission from Seller’s designated interface which is accepted by the transmission provider.  Instead of purchasing the firm transmission, the Buyer purchases non-firm service and, on delivery day, the Buyer’s non-firm service is cut.  Since the curtailment was due to the quality of service taken by the Buyer, the Seller’s obligation to deliver has been met.  Seller has no obligation to attempt delivery to another interface and the Buyer will owe the Seller damages calculated under Article Four of the Master Agreement.</w:t>
      </w:r>
      <w:r>
        <w:rPr>
          <w:rStyle w:val="FootnoteCharacters"/>
          <w:rStyle w:val="FootnoteReference"/>
        </w:rPr>
        <w:footnoteReference w:id="66"/>
      </w:r>
      <w:r>
        <w:rPr/>
        <w:t xml:space="preserve">  The same result would occur if:  (1) the Buyer failed to make a timely request for firm transmission after the Seller’s notification of the designated interface; or (2) following Seller’s notification of the designated interface, the Buyer makes a timely request for firm transmission service, but fails to notify the Seller within 15 minutes of receiving the transmission provider’s notice of rejection.</w:t>
      </w:r>
      <w:r>
        <w:rPr>
          <w:rStyle w:val="FootnoteCharacters"/>
          <w:rStyle w:val="FootnoteReference"/>
        </w:rPr>
        <w:footnoteReference w:id="67"/>
      </w:r>
    </w:p>
    <w:p>
      <w:pPr>
        <w:pStyle w:val="BodyTextIndent"/>
        <w:rPr/>
      </w:pPr>
      <w:r>
        <w:rPr/>
      </w:r>
    </w:p>
    <w:p>
      <w:pPr>
        <w:pStyle w:val="BodyTextIndent"/>
        <w:rPr/>
      </w:pPr>
      <w:r>
        <w:rPr/>
        <w:t>In the final example, the Seller has arranged non-firm transmission to the designated interface and Buyer makes timely arrangements for firm transmission within the market hub control area for ultimate delivery to an outside control area.  On delivery day the downstream control area transmission cuts the Buyer’s path because of the non-firm transmission purchased upstream by the Seller.</w:t>
      </w:r>
      <w:r>
        <w:rPr>
          <w:rStyle w:val="FootnoteCharacters"/>
          <w:rStyle w:val="FootnoteReference"/>
        </w:rPr>
        <w:footnoteReference w:id="68"/>
      </w:r>
      <w:r>
        <w:rPr/>
        <w:t xml:space="preserve">  The Seller’s obligation will be met and the Seller will not be obligated to deliver to another interface. The scheduled delivery was interrupted as a result of the Buyer’s attempted delivery of the product beyond the trading hub.  The Buyer will owe the Seller damages calculated under Article Four of the Master Agreement.</w:t>
      </w:r>
      <w:r>
        <w:rPr>
          <w:rStyle w:val="FootnoteCharacters"/>
          <w:rStyle w:val="FootnoteReference"/>
        </w:rPr>
        <w:footnoteReference w:id="69"/>
      </w:r>
      <w:r>
        <w:rPr/>
        <w:t xml:space="preserve"> </w:t>
      </w:r>
    </w:p>
    <w:p>
      <w:pPr>
        <w:pStyle w:val="BodyTextIndent"/>
        <w:rPr/>
      </w:pPr>
      <w:r>
        <w:rPr/>
      </w:r>
    </w:p>
    <w:p>
      <w:pPr>
        <w:pStyle w:val="BodyTextIndent"/>
        <w:rPr/>
      </w:pPr>
      <w:r>
        <w:rPr>
          <w:b/>
        </w:rPr>
        <w:t>Firm (No Force Majeure)</w:t>
      </w:r>
      <w:r>
        <w:rPr/>
        <w:t xml:space="preserve">  As the name implies, the Firm (No Force Majeure) product does not excuse performance for Force Majeure events.  Use of this product avoids any argument about whether there was a Force Majeure event or not.  There is simply no excuse for nonperformance. If you do not deliver or receive power, you calculate cover damages under the procedures specified in Article Four.</w:t>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b/>
        </w:rPr>
        <w:t xml:space="preserve">Transmission Contingencies -- </w:t>
      </w:r>
      <w:r>
        <w:rPr/>
        <w:t>One of the controversies encountered by the working group was concern that the Master Agreement product definitions failed to differentiate between the financial and physical markets, especially with respect to the transmission dependent criteria of the Into product.</w:t>
      </w:r>
      <w:r>
        <w:rPr>
          <w:rStyle w:val="FootnoteCharacters"/>
          <w:rStyle w:val="FootnoteReference"/>
        </w:rPr>
        <w:footnoteReference w:id="70"/>
      </w:r>
      <w:r>
        <w:rPr/>
        <w:t xml:space="preserve">   Some participants noted, for instance, that in the intra-day market it is impossible to obtain firm transmission, use alternate delivery points without losing firm contract path, or re-supply the market with firm transmission.  Another issue was the transmission implications of  NERC’s Operating Rules, especially NERC Policy 3 (Interchange) and NERC Policy 9 (Transmission Loading Relief Procedure).</w:t>
      </w:r>
      <w:r>
        <w:rPr>
          <w:rStyle w:val="FootnoteCharacters"/>
          <w:rStyle w:val="FootnoteReference"/>
        </w:rPr>
        <w:footnoteReference w:id="71"/>
      </w:r>
      <w:r>
        <w:rPr/>
        <w:t xml:space="preserve">  These policies affect the ability to obtain and keep transmission service under the procedures contemplated for the Into and other products.  Questions were raised about how long the buyer needs to arrange for firm transmission service.  Indeed, the duration of transmission is always the key to the duration of the product. </w:t>
      </w:r>
    </w:p>
    <w:p>
      <w:pPr>
        <w:pStyle w:val="BodyTextIndent"/>
        <w:rPr>
          <w:b/>
        </w:rPr>
      </w:pPr>
      <w:r>
        <w:rPr>
          <w:b/>
        </w:rPr>
        <w:t xml:space="preserve"> </w:t>
      </w:r>
    </w:p>
    <w:p>
      <w:pPr>
        <w:pStyle w:val="BodyTextIndent"/>
        <w:rPr/>
      </w:pPr>
      <w:r>
        <w:rPr/>
        <w:t xml:space="preserve">To accommodate these concerns, the Master Agreement allows any transaction to be made Firm Transmission Contingent.  Notwithstanding the definition of Force Majeure, the obligation to deliver or receive can be excused, either temporarily or permanently depending on the duration of the transaction, if firm transmission service at or from the Delivery point or along the buyer’s or seller’s firm contract path is interrupted or curtailed under the terms of the transmission provider’s open access tariff.  </w:t>
      </w:r>
    </w:p>
    <w:p>
      <w:pPr>
        <w:pStyle w:val="BodyText"/>
        <w:rPr>
          <w:rFonts w:ascii="Times New Roman" w:hAnsi="Times New Roman" w:cs="Times New Roman"/>
          <w:sz w:val="24"/>
        </w:rPr>
      </w:pPr>
      <w:r>
        <w:rPr>
          <w:rFonts w:cs="Times New Roman" w:ascii="Times New Roman" w:hAnsi="Times New Roman"/>
          <w:sz w:val="24"/>
        </w:rPr>
      </w:r>
    </w:p>
    <w:p>
      <w:pPr>
        <w:pStyle w:val="Heading2"/>
        <w:ind w:hanging="0" w:start="0"/>
        <w:rPr/>
      </w:pPr>
      <w:r>
        <w:rPr/>
        <w:t>D.</w:t>
        <w:tab/>
        <w:t>When the Deal Does Not Go Down – Remedies for Failure to Deliver/Receive</w:t>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t>The Master Agreement provides separate procedures to make a party whole for a counterparty’s nonperformance, depending on the nature of the breach.  Article Four of the Master Agreement provides a clear methodology to calculate cover damages for a counterparty’s failure to deliver or receive a Product.</w:t>
      </w:r>
      <w:r>
        <w:rPr>
          <w:rStyle w:val="FootnoteCharacters"/>
          <w:rStyle w:val="FootnoteReference"/>
        </w:rPr>
        <w:footnoteReference w:id="72"/>
      </w:r>
      <w:r>
        <w:rPr/>
        <w:t xml:space="preserve">  As discussed in IV.E, infra, Article Five furnishes more severe remedies for “events of default” -  more serious performance breaches, which if not cured, would warrant liquidation and termination of all trading positions with a counterparty. </w:t>
      </w:r>
    </w:p>
    <w:p>
      <w:pPr>
        <w:pStyle w:val="BodyTextIndent"/>
        <w:rPr/>
      </w:pPr>
      <w:r>
        <w:rPr/>
      </w:r>
    </w:p>
    <w:p>
      <w:pPr>
        <w:pStyle w:val="BodyTextIndent"/>
        <w:rPr/>
      </w:pPr>
      <w:r>
        <w:rPr/>
        <w:t>The cover damages provisions in Article Four permit the performing party to mitigate its exposure by entering into replacement transactions with third parties.</w:t>
      </w:r>
      <w:r>
        <w:rPr>
          <w:rStyle w:val="FootnoteCharacters"/>
          <w:rStyle w:val="FootnoteReference"/>
        </w:rPr>
        <w:footnoteReference w:id="73"/>
      </w:r>
      <w:r>
        <w:rPr/>
        <w:t xml:space="preserve">  If the seller fails to schedule or deliver all or part of the product in a transaction, the buyer acting in a “commercially reasonable” manner, can purchase replacement power at the delivery point and collect from the seller the positive difference (if any) from subtracting the contract price from the replacement price.</w:t>
      </w:r>
      <w:r>
        <w:rPr>
          <w:rStyle w:val="FootnoteCharacters"/>
          <w:rStyle w:val="FootnoteReference"/>
        </w:rPr>
        <w:footnoteReference w:id="74"/>
      </w:r>
      <w:r>
        <w:rPr/>
        <w:t xml:space="preserve">  The buyer also can “book-out” its sales obligation to a downstream third party and treat the net positive settlement cost as a replacement price.</w:t>
      </w:r>
      <w:r>
        <w:rPr>
          <w:rStyle w:val="FootnoteCharacters"/>
          <w:rStyle w:val="FootnoteReference"/>
        </w:rPr>
        <w:footnoteReference w:id="75"/>
      </w:r>
      <w:r>
        <w:rPr/>
        <w:t xml:space="preserve">  If the buyer fails to schedule or receive all or part of the product, the seller can sell the product in a “commercially reasonable” manner at the delivery point to a third party and collect from the buyer the positive difference (if any) from subtracting the contract price from the sales price.</w:t>
      </w:r>
      <w:r>
        <w:rPr>
          <w:rStyle w:val="FootnoteCharacters"/>
          <w:rStyle w:val="FootnoteReference"/>
        </w:rPr>
        <w:footnoteReference w:id="76"/>
      </w:r>
    </w:p>
    <w:p>
      <w:pPr>
        <w:pStyle w:val="BodyTextIndent"/>
        <w:rPr/>
      </w:pPr>
      <w:r>
        <w:rPr/>
      </w:r>
    </w:p>
    <w:p>
      <w:pPr>
        <w:pStyle w:val="BodyTextIndent"/>
        <w:rPr/>
      </w:pPr>
      <w:r>
        <w:rPr/>
        <w:t>Article Four gives maximum flexibility to measure damages by also allowing the performing party to use the market price  at the time and location where the transaction was to occur as “synthetic cover.”</w:t>
      </w:r>
      <w:r>
        <w:rPr>
          <w:rStyle w:val="FootnoteCharacters"/>
          <w:rStyle w:val="FootnoteReference"/>
        </w:rPr>
        <w:footnoteReference w:id="77"/>
      </w:r>
      <w:r>
        <w:rPr/>
        <w:t xml:space="preserve">   The market price would be used to compute either a Replacement Price or Sales Price depending on whether the performing party was the buyer or seller in a transaction.  If a party intends to use market prices, they must be prepared to document and justify that the prices were derived in a “commercially reasonable manner.”</w:t>
      </w:r>
      <w:r>
        <w:rPr>
          <w:rStyle w:val="FootnoteCharacters"/>
          <w:rStyle w:val="FootnoteReference"/>
        </w:rPr>
        <w:footnoteReference w:id="78"/>
      </w:r>
    </w:p>
    <w:p>
      <w:pPr>
        <w:pStyle w:val="BodyText"/>
        <w:rPr>
          <w:rFonts w:ascii="Times New Roman" w:hAnsi="Times New Roman" w:cs="Times New Roman"/>
          <w:sz w:val="24"/>
        </w:rPr>
      </w:pPr>
      <w:r>
        <w:rPr>
          <w:rFonts w:cs="Times New Roman" w:ascii="Times New Roman" w:hAnsi="Times New Roman"/>
          <w:sz w:val="24"/>
        </w:rPr>
      </w:r>
    </w:p>
    <w:p>
      <w:pPr>
        <w:pStyle w:val="BodyTextIndent"/>
        <w:rPr/>
      </w:pPr>
      <w:r>
        <w:rPr/>
        <w:t>Payment of damages under Article Four is done by default in the normal billing and payment cycle for completed transactions.  There is an option to accelerate collection of damages beyond the normal billing and payment cycle by requiring payment within five days of receiving an invoice.  This option must be negotiated by the parties in advance and selected on the Cover Sheet.  There are two views on using acceleration. Indiscriminate use of this option could have the practical effect of souring the trading relationship with a counterparty, resulting in retaliatory accelerated damage claims.  There also is concern about complicating accounting/back office operations and disruption of cash flow expectations.  Others perceive acceleration as a credit tool that needs to be taken into consideration.  While it may not be useful in the normal course of business,  it may be helpful to the extent your  counterparty has less credit protection.  Acceleration gives a party a chance to call in damages early and, if their counterparty cannot pay, an event of default can be called under Article Five.</w:t>
      </w:r>
    </w:p>
    <w:p>
      <w:pPr>
        <w:pStyle w:val="Normal"/>
        <w:rPr/>
      </w:pPr>
      <w:r>
        <w:rPr/>
      </w:r>
    </w:p>
    <w:p>
      <w:pPr>
        <w:pStyle w:val="Heading2"/>
        <w:ind w:hanging="0" w:start="0"/>
        <w:rPr/>
      </w:pPr>
      <w:r>
        <w:rPr/>
        <w:t>E.</w:t>
        <w:tab/>
        <w:t>Major Meltdowns – Events of Default and Credit Risk Protection</w:t>
      </w:r>
    </w:p>
    <w:p>
      <w:pPr>
        <w:pStyle w:val="Normal"/>
        <w:rPr/>
      </w:pPr>
      <w:r>
        <w:rPr/>
      </w:r>
    </w:p>
    <w:p>
      <w:pPr>
        <w:pStyle w:val="BodyTextIndent"/>
        <w:rPr/>
      </w:pPr>
      <w:r>
        <w:rPr/>
        <w:t>To protect against the credit risks inherent in today’s power markets, the Master Agreement incorporates effective and reciprocal “real time” credit terms.</w:t>
      </w:r>
      <w:r>
        <w:rPr>
          <w:rStyle w:val="FootnoteCharacters"/>
          <w:rStyle w:val="FootnoteReference"/>
        </w:rPr>
        <w:footnoteReference w:id="79"/>
      </w:r>
      <w:r>
        <w:rPr/>
        <w:t xml:space="preserve">   The working group included many forms of credit protection to select from in Article Eight (Credit and Collateral Obligations) because of the numerous ways credit is handled by various power marketing organizations.  Once the credit protections are negotiated with a counterparty and set down in an executed Master Agreement Cover Sheet, they will control the credit risk exposure in a day-to-day business relationship. A party can demand adequate assurances of performance in the form of information, collateral , or guarantees based on subjective or objective evaluations of  a counterparty’s credit risk.  In addition, Article Five (Events of Default; Remedies)  protects a party’s commercial interests when any of several Events of Default occur.  If not cured within a specified time, these events could seriously compromise a counterparty’s ability to meet its financial obligations.  </w:t>
      </w:r>
    </w:p>
    <w:p>
      <w:pPr>
        <w:pStyle w:val="BodyTextIndent"/>
        <w:rPr/>
      </w:pPr>
      <w:r>
        <w:rPr/>
      </w:r>
    </w:p>
    <w:p>
      <w:pPr>
        <w:pStyle w:val="BodyTextIndent"/>
        <w:rPr/>
      </w:pPr>
      <w:r>
        <w:rPr/>
        <w:t>Article Five’s liquidation, set-off and termination payment remedies and Article Eight’s credit protections provide a “disaster plan” to gain the maximum economic benefit from the bargains struck with a counterparty who suffers a “major meltdown.”</w:t>
      </w:r>
      <w:r>
        <w:rPr>
          <w:rStyle w:val="FootnoteCharacters"/>
          <w:rStyle w:val="FootnoteReference"/>
        </w:rPr>
        <w:footnoteReference w:id="80"/>
      </w:r>
      <w:r>
        <w:rPr/>
        <w:t xml:space="preserve"> In sum, the credit and default provisions of the Master Agreement are designed to give counterparties the full economic benefit of the transactions they enter into and to apply pressure on counterparties to live up to their obligations.</w:t>
      </w:r>
    </w:p>
    <w:p>
      <w:pPr>
        <w:pStyle w:val="BodyTextIndent"/>
        <w:rPr/>
      </w:pPr>
      <w:r>
        <w:rPr/>
      </w:r>
    </w:p>
    <w:p>
      <w:pPr>
        <w:pStyle w:val="Heading3"/>
        <w:rPr/>
      </w:pPr>
      <w:r>
        <w:rPr/>
        <w:t>1.</w:t>
        <w:tab/>
        <w:t>Credit Protection Mechanisms</w:t>
      </w:r>
    </w:p>
    <w:p>
      <w:pPr>
        <w:pStyle w:val="BodyTextIndent"/>
        <w:rPr/>
      </w:pPr>
      <w:r>
        <w:rPr/>
      </w:r>
    </w:p>
    <w:p>
      <w:pPr>
        <w:pStyle w:val="BodyTextIndent"/>
        <w:rPr/>
      </w:pPr>
      <w:r>
        <w:rPr/>
        <w:t>The Master Agreement provides an array of  reciprocal credit and collateral requirements for each party (Party A) and counterparty (Party B) to be  negotiated and specified on the Cover Sheet.</w:t>
      </w:r>
      <w:r>
        <w:rPr>
          <w:rStyle w:val="FootnoteCharacters"/>
          <w:rStyle w:val="FootnoteReference"/>
        </w:rPr>
        <w:footnoteReference w:id="81"/>
      </w:r>
      <w:r>
        <w:rPr/>
        <w:t xml:space="preserve">  Each party has three options to request and receive  information about its counterparty’s creditworthiness.  By default, the parties can negotiate customized information to request from their counterparty.</w:t>
      </w:r>
      <w:r>
        <w:rPr>
          <w:rStyle w:val="FootnoteCharacters"/>
          <w:rStyle w:val="FootnoteReference"/>
        </w:rPr>
        <w:footnoteReference w:id="82"/>
      </w:r>
      <w:r>
        <w:rPr/>
        <w:t xml:space="preserve">  This option is well suited for closely held entities for which there is not a lot of financial information readily available.  The parties also may request each other’s annual report and quarterly financial statements.</w:t>
      </w:r>
      <w:r>
        <w:rPr>
          <w:rStyle w:val="FootnoteCharacters"/>
          <w:rStyle w:val="FootnoteReference"/>
        </w:rPr>
        <w:footnoteReference w:id="83"/>
      </w:r>
      <w:r>
        <w:rPr/>
        <w:t xml:space="preserve">  Another option broadens the credit protection to allow the parties to request the same information about other entities such as parental or other guarantors.</w:t>
      </w:r>
      <w:r>
        <w:rPr>
          <w:rStyle w:val="FootnoteCharacters"/>
          <w:rStyle w:val="FootnoteReference"/>
        </w:rPr>
        <w:footnoteReference w:id="84"/>
      </w:r>
      <w:r>
        <w:rPr/>
        <w:t xml:space="preserve">  </w:t>
      </w:r>
    </w:p>
    <w:p>
      <w:pPr>
        <w:pStyle w:val="BodyTextIndent"/>
        <w:rPr/>
      </w:pPr>
      <w:r>
        <w:rPr/>
      </w:r>
    </w:p>
    <w:p>
      <w:pPr>
        <w:pStyle w:val="BodyTextIndent"/>
        <w:rPr/>
      </w:pPr>
      <w:r>
        <w:rPr/>
        <w:t>Party A also has the right to demand assurance future performance from Party B  in the form of Performance Assurance.</w:t>
      </w:r>
      <w:r>
        <w:rPr>
          <w:rStyle w:val="FootnoteCharacters"/>
          <w:rStyle w:val="FootnoteReference"/>
        </w:rPr>
        <w:footnoteReference w:id="85"/>
      </w:r>
      <w:r>
        <w:rPr/>
        <w:t xml:space="preserve">   Performance Assurance is defined as collateral in the form of either cash, letter(s) of credit, or other security acceptable to the requesting party.</w:t>
      </w:r>
      <w:r>
        <w:rPr>
          <w:rStyle w:val="FootnoteCharacters"/>
          <w:rStyle w:val="FootnoteReference"/>
        </w:rPr>
        <w:footnoteReference w:id="86"/>
      </w:r>
      <w:r>
        <w:rPr/>
        <w:t xml:space="preserve">  If Party B fails to respond to a reasonable request for Performance Assurance within three days, it triggers an Event of Default under Article Five which could result in early termination of the trading relationship. Under the default procedure, Party A may request Performance Assurance based on a very subjective evaluation (even a “sense of  insecurity”) about Party B’s creditworthiness.</w:t>
      </w:r>
      <w:r>
        <w:rPr>
          <w:rStyle w:val="FootnoteCharacters"/>
          <w:rStyle w:val="FootnoteReference"/>
        </w:rPr>
        <w:footnoteReference w:id="87"/>
      </w:r>
      <w:r>
        <w:rPr/>
        <w:t xml:space="preserve">   Party A, however, must determine the amount or type of Performance Assurance in a commercially reasonable manner.  In practice, Party A could accept Performance Assurance by receiving additional information from Party B instead of collateral.  Thus, an adequate Performance Assurance could run the spectrum from squelching a rumor to the posting of significant amounts of collateral, depending on how much Party A needs something objectively identifiable to reinforce its  sense of security about Party B. </w:t>
      </w:r>
    </w:p>
    <w:p>
      <w:pPr>
        <w:pStyle w:val="BodyTextIndent"/>
        <w:rPr/>
      </w:pPr>
      <w:r>
        <w:rPr/>
      </w:r>
    </w:p>
    <w:p>
      <w:pPr>
        <w:pStyle w:val="BodyTextIndent"/>
        <w:rPr/>
      </w:pPr>
      <w:r>
        <w:rPr/>
        <w:t>Using the Master Agreement’s default creditworthiness evaluation to obtain some form of Performance Assurance based on subjective judgment, however, could become a quagmire for disputes over whether Party A acted reasonably. Thus, the Master Agreement includes optional provisions that provide more of a “bright line” creditworthiness standard.  Providing a Guarantee Amount agreed to upfront is a relatively straightforward credit protection.</w:t>
      </w:r>
      <w:r>
        <w:rPr>
          <w:rStyle w:val="FootnoteCharacters"/>
          <w:rStyle w:val="FootnoteReference"/>
        </w:rPr>
        <w:footnoteReference w:id="88"/>
      </w:r>
      <w:r>
        <w:rPr/>
        <w:t xml:space="preserve">  Another option lets Party A receive a Performance Assurance in the event the “mark-to-market” exposure to Party B exceeds a credit limit called the Collateral Threshold which is specified on the Cover Sheet.</w:t>
      </w:r>
      <w:r>
        <w:rPr>
          <w:rStyle w:val="FootnoteCharacters"/>
          <w:rStyle w:val="FootnoteReference"/>
        </w:rPr>
        <w:footnoteReference w:id="89"/>
      </w:r>
      <w:r>
        <w:rPr/>
        <w:t xml:space="preserve">  The Cover Sheet states that if there is an existing Event of Default with respect to Party B the Collateral Threshold is zero. Party A may determine its exposure daily based on a formula specified in Article Eight.</w:t>
      </w:r>
      <w:r>
        <w:rPr>
          <w:rStyle w:val="FootnoteCharacters"/>
          <w:rStyle w:val="FootnoteReference"/>
        </w:rPr>
        <w:footnoteReference w:id="90"/>
      </w:r>
      <w:r>
        <w:rPr/>
        <w:t xml:space="preserve">  First, Party A calculates a Termination Payment under the procedure specified in Section 5.3 of the Master Agreement as if all outstanding transactions were being liquidated.</w:t>
      </w:r>
      <w:r>
        <w:rPr>
          <w:rStyle w:val="FootnoteCharacters"/>
          <w:rStyle w:val="FootnoteReference"/>
        </w:rPr>
        <w:footnoteReference w:id="91"/>
      </w:r>
      <w:r>
        <w:rPr/>
        <w:t xml:space="preserve">   Calculating the Termination Payment is more of an art than a science, but it is more precise than using the default provision’s subjective credit evaluation.</w:t>
      </w:r>
      <w:r>
        <w:rPr>
          <w:rStyle w:val="FootnoteCharacters"/>
          <w:rStyle w:val="FootnoteReference"/>
        </w:rPr>
        <w:footnoteReference w:id="92"/>
      </w:r>
      <w:r>
        <w:rPr/>
        <w:t xml:space="preserve"> </w:t>
      </w:r>
    </w:p>
    <w:p>
      <w:pPr>
        <w:pStyle w:val="BodyTextIndent"/>
        <w:rPr/>
      </w:pPr>
      <w:r>
        <w:rPr/>
      </w:r>
    </w:p>
    <w:p>
      <w:pPr>
        <w:pStyle w:val="BodyTextIndent"/>
        <w:rPr/>
      </w:pPr>
      <w:r>
        <w:rPr/>
        <w:t>Next, the Termination Payment is added to any Independent Amount that was negotiated in advance and included on the Cover Sheet.</w:t>
      </w:r>
      <w:r>
        <w:rPr>
          <w:rStyle w:val="FootnoteCharacters"/>
          <w:rStyle w:val="FootnoteReference"/>
        </w:rPr>
        <w:footnoteReference w:id="93"/>
      </w:r>
      <w:r>
        <w:rPr/>
        <w:t xml:space="preserve">  The Independent Amount is often used in cases where a party has (or a party expects to have) highly volatile positions with the other party.  Since collateral under the Master Agreement is delivered after exposure has exceeded a party’s collateral threshold, a party may want to add a “reserve” of additional “phantom exposure” in the agreement to provide some cushion against volatile positions with the other party.   Say that the Collateral Threshold is set at $10,000,000 for Party B and the contract specifies that the Independent Amount for Party B is $5,000,000; should </w:t>
      </w:r>
      <w:r>
        <w:rPr>
          <w:u w:val="single"/>
        </w:rPr>
        <w:t>actual</w:t>
      </w:r>
      <w:r>
        <w:rPr/>
        <w:t xml:space="preserve"> exposure exceed $5,000,000, Party A can require Party B to post collateral.</w:t>
      </w:r>
    </w:p>
    <w:p>
      <w:pPr>
        <w:pStyle w:val="BodyTextIndent"/>
        <w:rPr/>
      </w:pPr>
      <w:r>
        <w:rPr/>
      </w:r>
    </w:p>
    <w:p>
      <w:pPr>
        <w:pStyle w:val="BodyTextIndent"/>
        <w:rPr/>
      </w:pPr>
      <w:r>
        <w:rPr/>
        <w:t>If the Termination Payment plus the Independent Amount, if any, exceeds Party B’s Collateral Threshold, then Party A may request as Performance Assurance the excess amount adjusted upwards to the next Rounding Amount less any amounts previously posted as collateral.</w:t>
      </w:r>
      <w:r>
        <w:rPr>
          <w:rStyle w:val="FootnoteCharacters"/>
          <w:rStyle w:val="FootnoteReference"/>
        </w:rPr>
        <w:footnoteReference w:id="94"/>
      </w:r>
      <w:r>
        <w:rPr/>
        <w:t xml:space="preserve">  For example:</w:t>
      </w:r>
    </w:p>
    <w:p>
      <w:pPr>
        <w:pStyle w:val="BodyTextIndent"/>
        <w:rPr/>
      </w:pPr>
      <w:r>
        <w:rPr/>
      </w:r>
    </w:p>
    <w:tbl>
      <w:tblPr>
        <w:tblW w:w="7200" w:type="dxa"/>
        <w:jc w:val="start"/>
        <w:tblInd w:w="648" w:type="dxa"/>
        <w:tblLayout w:type="fixed"/>
        <w:tblCellMar>
          <w:top w:w="0" w:type="dxa"/>
          <w:start w:w="108" w:type="dxa"/>
          <w:bottom w:w="0" w:type="dxa"/>
          <w:end w:w="108" w:type="dxa"/>
        </w:tblCellMar>
      </w:tblPr>
      <w:tblGrid>
        <w:gridCol w:w="4140"/>
        <w:gridCol w:w="3060"/>
      </w:tblGrid>
      <w:tr>
        <w:trPr/>
        <w:tc>
          <w:tcPr>
            <w:tcW w:w="414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Actual Exposure Party A has to Party B</w:t>
            </w:r>
          </w:p>
        </w:tc>
        <w:tc>
          <w:tcPr>
            <w:tcW w:w="3060" w:type="dxa"/>
            <w:tcBorders>
              <w:top w:val="single" w:sz="4" w:space="0" w:color="FFFFFF"/>
              <w:start w:val="single" w:sz="4" w:space="0" w:color="FFFFFF"/>
              <w:bottom w:val="single" w:sz="4" w:space="0" w:color="FFFFFF"/>
              <w:end w:val="single" w:sz="4" w:space="0" w:color="FFFFFF"/>
            </w:tcBorders>
          </w:tcPr>
          <w:p>
            <w:pPr>
              <w:pStyle w:val="BodyTextIndent"/>
              <w:ind w:hanging="0" w:end="0"/>
              <w:jc w:val="end"/>
              <w:rPr/>
            </w:pPr>
            <w:r>
              <w:rPr/>
              <w:t>$5,452,000</w:t>
            </w:r>
          </w:p>
        </w:tc>
      </w:tr>
      <w:tr>
        <w:trPr>
          <w:trHeight w:val="287" w:hRule="atLeast"/>
        </w:trPr>
        <w:tc>
          <w:tcPr>
            <w:tcW w:w="414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Party B’s Independent Amount</w:t>
            </w:r>
          </w:p>
        </w:tc>
        <w:tc>
          <w:tcPr>
            <w:tcW w:w="3060" w:type="dxa"/>
            <w:tcBorders>
              <w:top w:val="single" w:sz="4" w:space="0" w:color="FFFFFF"/>
              <w:start w:val="single" w:sz="4" w:space="0" w:color="FFFFFF"/>
              <w:bottom w:val="single" w:sz="4" w:space="0" w:color="FFFFFF"/>
              <w:end w:val="single" w:sz="4" w:space="0" w:color="FFFFFF"/>
            </w:tcBorders>
          </w:tcPr>
          <w:p>
            <w:pPr>
              <w:pStyle w:val="BodyTextIndent"/>
              <w:ind w:hanging="0" w:end="0"/>
              <w:jc w:val="end"/>
              <w:rPr>
                <w:u w:val="single"/>
              </w:rPr>
            </w:pPr>
            <w:r>
              <w:rPr>
                <w:u w:val="single"/>
              </w:rPr>
              <w:t>$5,000,000</w:t>
            </w:r>
          </w:p>
        </w:tc>
      </w:tr>
      <w:tr>
        <w:trPr/>
        <w:tc>
          <w:tcPr>
            <w:tcW w:w="414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TOTAL EXPOSURE</w:t>
            </w:r>
          </w:p>
        </w:tc>
        <w:tc>
          <w:tcPr>
            <w:tcW w:w="3060" w:type="dxa"/>
            <w:tcBorders>
              <w:top w:val="single" w:sz="4" w:space="0" w:color="FFFFFF"/>
              <w:start w:val="single" w:sz="4" w:space="0" w:color="FFFFFF"/>
              <w:bottom w:val="single" w:sz="4" w:space="0" w:color="FFFFFF"/>
              <w:end w:val="single" w:sz="4" w:space="0" w:color="FFFFFF"/>
            </w:tcBorders>
          </w:tcPr>
          <w:p>
            <w:pPr>
              <w:pStyle w:val="BodyTextIndent"/>
              <w:ind w:hanging="0" w:end="0"/>
              <w:jc w:val="end"/>
              <w:rPr/>
            </w:pPr>
            <w:r>
              <w:rPr/>
              <w:t>$10,452,000</w:t>
            </w:r>
          </w:p>
        </w:tc>
      </w:tr>
      <w:tr>
        <w:trPr/>
        <w:tc>
          <w:tcPr>
            <w:tcW w:w="414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Party B’s Collateral Threshold</w:t>
            </w:r>
          </w:p>
        </w:tc>
        <w:tc>
          <w:tcPr>
            <w:tcW w:w="3060" w:type="dxa"/>
            <w:tcBorders>
              <w:top w:val="single" w:sz="4" w:space="0" w:color="FFFFFF"/>
              <w:start w:val="single" w:sz="4" w:space="0" w:color="FFFFFF"/>
              <w:bottom w:val="single" w:sz="4" w:space="0" w:color="FFFFFF"/>
              <w:end w:val="single" w:sz="4" w:space="0" w:color="FFFFFF"/>
            </w:tcBorders>
          </w:tcPr>
          <w:p>
            <w:pPr>
              <w:pStyle w:val="BodyTextIndent"/>
              <w:ind w:hanging="0" w:end="0"/>
              <w:jc w:val="end"/>
              <w:rPr/>
            </w:pPr>
            <w:r>
              <w:rPr/>
              <w:t xml:space="preserve">  </w:t>
            </w:r>
            <w:r>
              <w:rPr/>
              <w:t>($10,000,000)</w:t>
            </w:r>
          </w:p>
        </w:tc>
      </w:tr>
      <w:tr>
        <w:trPr/>
        <w:tc>
          <w:tcPr>
            <w:tcW w:w="414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Already Posted Performance Assurance</w:t>
            </w:r>
          </w:p>
        </w:tc>
        <w:tc>
          <w:tcPr>
            <w:tcW w:w="3060" w:type="dxa"/>
            <w:tcBorders>
              <w:top w:val="single" w:sz="4" w:space="0" w:color="FFFFFF"/>
              <w:start w:val="single" w:sz="4" w:space="0" w:color="FFFFFF"/>
              <w:bottom w:val="single" w:sz="4" w:space="0" w:color="FFFFFF"/>
              <w:end w:val="single" w:sz="4" w:space="0" w:color="FFFFFF"/>
            </w:tcBorders>
          </w:tcPr>
          <w:p>
            <w:pPr>
              <w:pStyle w:val="BodyTextIndent"/>
              <w:ind w:hanging="0" w:end="0"/>
              <w:jc w:val="end"/>
              <w:rPr/>
            </w:pPr>
            <w:r>
              <w:rPr/>
              <w:t>($0)</w:t>
            </w:r>
          </w:p>
        </w:tc>
      </w:tr>
      <w:tr>
        <w:trPr/>
        <w:tc>
          <w:tcPr>
            <w:tcW w:w="414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Party B Rounding Amount</w:t>
            </w:r>
          </w:p>
        </w:tc>
        <w:tc>
          <w:tcPr>
            <w:tcW w:w="3060" w:type="dxa"/>
            <w:tcBorders>
              <w:top w:val="single" w:sz="4" w:space="0" w:color="FFFFFF"/>
              <w:start w:val="single" w:sz="4" w:space="0" w:color="FFFFFF"/>
              <w:bottom w:val="single" w:sz="4" w:space="0" w:color="FFFFFF"/>
              <w:end w:val="single" w:sz="4" w:space="0" w:color="FFFFFF"/>
            </w:tcBorders>
          </w:tcPr>
          <w:p>
            <w:pPr>
              <w:pStyle w:val="BodyTextIndent"/>
              <w:ind w:hanging="0" w:end="0"/>
              <w:jc w:val="end"/>
              <w:rPr>
                <w:u w:val="single"/>
              </w:rPr>
            </w:pPr>
            <w:r>
              <w:rPr>
                <w:u w:val="single"/>
              </w:rPr>
              <w:t>($100,000)</w:t>
            </w:r>
          </w:p>
        </w:tc>
      </w:tr>
      <w:tr>
        <w:trPr/>
        <w:tc>
          <w:tcPr>
            <w:tcW w:w="414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NEW PERFORMANCE ASSURANCE</w:t>
            </w:r>
          </w:p>
        </w:tc>
        <w:tc>
          <w:tcPr>
            <w:tcW w:w="3060" w:type="dxa"/>
            <w:tcBorders>
              <w:top w:val="single" w:sz="4" w:space="0" w:color="FFFFFF"/>
              <w:start w:val="single" w:sz="4" w:space="0" w:color="FFFFFF"/>
              <w:bottom w:val="single" w:sz="4" w:space="0" w:color="FFFFFF"/>
              <w:end w:val="single" w:sz="4" w:space="0" w:color="FFFFFF"/>
            </w:tcBorders>
          </w:tcPr>
          <w:p>
            <w:pPr>
              <w:pStyle w:val="BodyTextIndent"/>
              <w:ind w:hanging="0" w:end="0"/>
              <w:jc w:val="end"/>
              <w:rPr/>
            </w:pPr>
            <w:r>
              <w:rPr/>
              <w:t>$500,000</w:t>
            </w:r>
          </w:p>
        </w:tc>
      </w:tr>
    </w:tbl>
    <w:p>
      <w:pPr>
        <w:pStyle w:val="BodyTextIndent"/>
        <w:rPr/>
      </w:pPr>
      <w:r>
        <w:rPr/>
      </w:r>
    </w:p>
    <w:p>
      <w:pPr>
        <w:pStyle w:val="BodyTextIndent"/>
        <w:rPr/>
      </w:pPr>
      <w:r>
        <w:rPr/>
        <w:t xml:space="preserve">Assuming Party B has posted collateral already it can ask periodically to have Party A recalculate its mark-to-market exposure to determine whether a new Performance Assurance amount is required.  If the Party B’s posted Performance Assurance is in letter of credit form, Party can be required to recalculate its exposure on a weekly basis, while cash collateral can be reevaluated daily.   If the recalculated Performance Assurance level is less than what is currently posted, the excess amount of collateral would be refunded to Party B.  </w:t>
      </w:r>
    </w:p>
    <w:p>
      <w:pPr>
        <w:pStyle w:val="BodyTextIndent"/>
        <w:rPr/>
      </w:pPr>
      <w:r>
        <w:rPr/>
      </w:r>
    </w:p>
    <w:p>
      <w:pPr>
        <w:pStyle w:val="BodyTextIndent"/>
        <w:rPr/>
      </w:pPr>
      <w:r>
        <w:rPr/>
        <w:t xml:space="preserve"> </w:t>
      </w:r>
      <w:r>
        <w:rPr/>
        <w:t>Another objective measurement of creditworthiness allows Party A to get Performance Assurance for a Downgrade Event if a credit rating agency lowers  Party B’s or some other designated entity’s credit rating below a level selected on the Cover Sheet.</w:t>
      </w:r>
      <w:r>
        <w:rPr>
          <w:rStyle w:val="FootnoteCharacters"/>
          <w:rStyle w:val="FootnoteReference"/>
        </w:rPr>
        <w:footnoteReference w:id="95"/>
      </w:r>
      <w:r>
        <w:rPr/>
        <w:t xml:space="preserve">   Party B, an affiliate, or a guarantor can be selected, depending on which entity has a rating Party A wants to rely on.  In the event the Downgrade Event occurs, Party B has to provide Performance Assurance as reasonably determined by Party A.  The Downgrade Event is a standard tool under many energy company contracts and is universally used in financial markets.  Randy S. Baker, Director, Credit Risk for Duke Energy Corp. suggests the following Collateral Thresholds based on a party’s credit rating:</w:t>
      </w:r>
      <w:r>
        <w:rPr>
          <w:rStyle w:val="FootnoteCharacters"/>
          <w:rStyle w:val="FootnoteReference"/>
        </w:rPr>
        <w:footnoteReference w:id="96"/>
      </w:r>
    </w:p>
    <w:p>
      <w:pPr>
        <w:pStyle w:val="Normal"/>
        <w:rPr/>
      </w:pPr>
      <w:r>
        <w:rPr/>
      </w:r>
    </w:p>
    <w:tbl>
      <w:tblPr>
        <w:tblW w:w="7038" w:type="dxa"/>
        <w:jc w:val="center"/>
        <w:tblInd w:w="0" w:type="dxa"/>
        <w:tblLayout w:type="fixed"/>
        <w:tblCellMar>
          <w:top w:w="0" w:type="dxa"/>
          <w:start w:w="108" w:type="dxa"/>
          <w:bottom w:w="0" w:type="dxa"/>
          <w:end w:w="108" w:type="dxa"/>
        </w:tblCellMar>
      </w:tblPr>
      <w:tblGrid>
        <w:gridCol w:w="4428"/>
        <w:gridCol w:w="2610"/>
      </w:tblGrid>
      <w:tr>
        <w:trPr/>
        <w:tc>
          <w:tcPr>
            <w:tcW w:w="4428" w:type="dxa"/>
            <w:tcBorders>
              <w:top w:val="single" w:sz="4" w:space="0" w:color="FFFFFF"/>
              <w:start w:val="single" w:sz="4" w:space="0" w:color="FFFFFF"/>
              <w:bottom w:val="single" w:sz="4" w:space="0" w:color="FFFFFF"/>
              <w:end w:val="single" w:sz="4" w:space="0" w:color="FFFFFF"/>
            </w:tcBorders>
          </w:tcPr>
          <w:p>
            <w:pPr>
              <w:pStyle w:val="BodyTextIndent"/>
              <w:ind w:hanging="0" w:end="0"/>
              <w:rPr>
                <w:u w:val="single"/>
              </w:rPr>
            </w:pPr>
            <w:r>
              <w:rPr>
                <w:u w:val="single"/>
              </w:rPr>
              <w:t>Credit Rating (S&amp;P / Moody’s)</w:t>
            </w:r>
          </w:p>
        </w:tc>
        <w:tc>
          <w:tcPr>
            <w:tcW w:w="2610" w:type="dxa"/>
            <w:tcBorders>
              <w:top w:val="single" w:sz="4" w:space="0" w:color="FFFFFF"/>
              <w:start w:val="single" w:sz="4" w:space="0" w:color="FFFFFF"/>
              <w:bottom w:val="single" w:sz="4" w:space="0" w:color="FFFFFF"/>
              <w:end w:val="single" w:sz="4" w:space="0" w:color="FFFFFF"/>
            </w:tcBorders>
          </w:tcPr>
          <w:p>
            <w:pPr>
              <w:pStyle w:val="BodyTextIndent"/>
              <w:ind w:hanging="0" w:end="0"/>
              <w:rPr>
                <w:u w:val="single"/>
              </w:rPr>
            </w:pPr>
            <w:r>
              <w:rPr>
                <w:u w:val="single"/>
              </w:rPr>
              <w:t>Collateral Threshold</w:t>
            </w:r>
          </w:p>
        </w:tc>
      </w:tr>
      <w:tr>
        <w:trPr/>
        <w:tc>
          <w:tcPr>
            <w:tcW w:w="4428"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AAA / Aaa</w:t>
            </w:r>
          </w:p>
        </w:tc>
        <w:tc>
          <w:tcPr>
            <w:tcW w:w="261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$30,000,000</w:t>
            </w:r>
          </w:p>
        </w:tc>
      </w:tr>
      <w:tr>
        <w:trPr/>
        <w:tc>
          <w:tcPr>
            <w:tcW w:w="4428"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 xml:space="preserve">AA- to AA+ / Aa3 to Aa1 </w:t>
            </w:r>
          </w:p>
        </w:tc>
        <w:tc>
          <w:tcPr>
            <w:tcW w:w="261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$30,000,000</w:t>
            </w:r>
          </w:p>
        </w:tc>
      </w:tr>
      <w:tr>
        <w:trPr/>
        <w:tc>
          <w:tcPr>
            <w:tcW w:w="4428"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A- to A+ / A3 to A1</w:t>
            </w:r>
          </w:p>
        </w:tc>
        <w:tc>
          <w:tcPr>
            <w:tcW w:w="261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$20,000,000</w:t>
            </w:r>
          </w:p>
        </w:tc>
      </w:tr>
      <w:tr>
        <w:trPr/>
        <w:tc>
          <w:tcPr>
            <w:tcW w:w="4428"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BBB to BBB+ / Baa2 to Baa1</w:t>
            </w:r>
          </w:p>
        </w:tc>
        <w:tc>
          <w:tcPr>
            <w:tcW w:w="261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$10,000,000</w:t>
            </w:r>
          </w:p>
        </w:tc>
      </w:tr>
      <w:tr>
        <w:trPr/>
        <w:tc>
          <w:tcPr>
            <w:tcW w:w="4428"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BBB- / Baa3</w:t>
            </w:r>
          </w:p>
        </w:tc>
        <w:tc>
          <w:tcPr>
            <w:tcW w:w="261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  5,000,000</w:t>
            </w:r>
          </w:p>
        </w:tc>
      </w:tr>
      <w:tr>
        <w:trPr/>
        <w:tc>
          <w:tcPr>
            <w:tcW w:w="4428"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BB+ / Ba1 or below</w:t>
            </w:r>
          </w:p>
        </w:tc>
        <w:tc>
          <w:tcPr>
            <w:tcW w:w="2610" w:type="dxa"/>
            <w:tcBorders>
              <w:top w:val="single" w:sz="4" w:space="0" w:color="FFFFFF"/>
              <w:start w:val="single" w:sz="4" w:space="0" w:color="FFFFFF"/>
              <w:bottom w:val="single" w:sz="4" w:space="0" w:color="FFFFFF"/>
              <w:end w:val="single" w:sz="4" w:space="0" w:color="FFFFFF"/>
            </w:tcBorders>
          </w:tcPr>
          <w:p>
            <w:pPr>
              <w:pStyle w:val="BodyTextIndent"/>
              <w:ind w:hanging="0" w:end="0"/>
              <w:rPr/>
            </w:pPr>
            <w:r>
              <w:rPr/>
              <w:t>$                0</w:t>
            </w:r>
          </w:p>
        </w:tc>
      </w:tr>
    </w:tbl>
    <w:p>
      <w:pPr>
        <w:pStyle w:val="BodyTextIndent"/>
        <w:rPr/>
      </w:pPr>
      <w:r>
        <w:rPr/>
      </w:r>
    </w:p>
    <w:p>
      <w:pPr>
        <w:pStyle w:val="BodyTextIndent"/>
        <w:rPr/>
      </w:pPr>
      <w:r>
        <w:rPr/>
      </w:r>
    </w:p>
    <w:p>
      <w:pPr>
        <w:pStyle w:val="BodyTextIndent"/>
        <w:rPr/>
      </w:pPr>
      <w:r>
        <w:rPr/>
        <w:t>Ultimately, the choice of any of the Article Eight credit protections depends on whether the parties want to apply subjective or objective creditworthiness criteria.   It is more appropriate to use a very objective standard for a rated entity.  A subjective standard is preferable when dealing with a closely held entity that does not disseminate much information available about its finances.  The selection of credit arrangements involves a balance between each party having a continual responsibility to  respond to their counterparty’s requests for security against  having the ability to react in a timely fashion when that counterparty has run into a problem.</w:t>
      </w:r>
    </w:p>
    <w:p>
      <w:pPr>
        <w:pStyle w:val="BodyTextIndent"/>
        <w:rPr/>
      </w:pPr>
      <w:r>
        <w:rPr/>
      </w:r>
    </w:p>
    <w:p>
      <w:pPr>
        <w:pStyle w:val="Heading3"/>
        <w:rPr/>
      </w:pPr>
      <w:r>
        <w:rPr/>
        <w:t>2.</w:t>
        <w:tab/>
        <w:t>Events of Default and Remedies</w:t>
      </w:r>
    </w:p>
    <w:p>
      <w:pPr>
        <w:pStyle w:val="Normal"/>
        <w:rPr/>
      </w:pPr>
      <w:r>
        <w:rPr/>
      </w:r>
    </w:p>
    <w:p>
      <w:pPr>
        <w:pStyle w:val="BodyTextIndent"/>
        <w:rPr/>
      </w:pPr>
      <w:r>
        <w:rPr/>
        <w:t>Article Five of the Master Agreement crisply identifies several objective Events of Default that compromise a party’s ability to honor its obligations under the contract, including:  (1) non-payment; (2) false representation; (3) failure to perform a material covenant or obligation; (4) bankruptcy; (5) failure to perform Article Eight creditworthiness and collateral requirements; (6) an entity’s failure to assume all obligations after a merger or asset transfer; (7) cross default on an existing indebtedness; and (8) defaults by a guarantor.</w:t>
      </w:r>
      <w:r>
        <w:rPr>
          <w:rStyle w:val="FootnoteCharacters"/>
          <w:rStyle w:val="FootnoteReference"/>
        </w:rPr>
        <w:footnoteReference w:id="97"/>
      </w:r>
      <w:r>
        <w:rPr/>
        <w:t xml:space="preserve">  Fundamental to the structure of the Master Agreement is a specific exclusion for non-delivery or non-receipt of product from the Events of Default, as long as a party makes timely cover payments under Article Four.</w:t>
      </w:r>
      <w:r>
        <w:rPr>
          <w:rStyle w:val="FootnoteCharacters"/>
          <w:rStyle w:val="FootnoteReference"/>
        </w:rPr>
        <w:footnoteReference w:id="98"/>
      </w:r>
    </w:p>
    <w:p>
      <w:pPr>
        <w:pStyle w:val="BodyTextIndent"/>
        <w:rPr/>
      </w:pPr>
      <w:r>
        <w:rPr/>
      </w:r>
    </w:p>
    <w:p>
      <w:pPr>
        <w:pStyle w:val="BodyTextIndent"/>
        <w:rPr/>
      </w:pPr>
      <w:r>
        <w:rPr/>
        <w:t>Thus, the Events of Default are a “wake up call” that a counterparty is in trouble and Article Five provides a roadmap for the action to take next.  Once an Event of  Default has occurred and is continuing, the non-defaulting party essentially has three options that it can exercise either simultaneously or individually, depending on the severity of the problem and whether the event is likely to continue.</w:t>
      </w:r>
      <w:r>
        <w:rPr>
          <w:rStyle w:val="FootnoteCharacters"/>
          <w:rStyle w:val="FootnoteReference"/>
        </w:rPr>
        <w:footnoteReference w:id="99"/>
      </w:r>
      <w:r>
        <w:rPr/>
        <w:t xml:space="preserve">  The non-defaulting party can withhold payment of any amounts due to the defaulting party.  Also, the non-defaulting party can suspend performance during the time that an event of default has occurred and is continuing.  Unless the non-defaulting party declares an “Early Termination Date” to “pull the plug” and liquidate all mutual transactions, the performance suspension period only can last up to 10 days.</w:t>
      </w:r>
      <w:r>
        <w:rPr>
          <w:rStyle w:val="FootnoteCharacters"/>
          <w:rStyle w:val="FootnoteReference"/>
        </w:rPr>
        <w:footnoteReference w:id="100"/>
      </w:r>
      <w:r>
        <w:rPr/>
        <w:t xml:space="preserve">   </w:t>
      </w:r>
    </w:p>
    <w:p>
      <w:pPr>
        <w:pStyle w:val="Normal"/>
        <w:rPr/>
      </w:pPr>
      <w:r>
        <w:rPr/>
      </w:r>
    </w:p>
    <w:p>
      <w:pPr>
        <w:pStyle w:val="BodyTextIndent"/>
        <w:rPr/>
      </w:pPr>
      <w:r>
        <w:rPr/>
        <w:t xml:space="preserve">Should the non-defaulting party decide to wind down its existing transactions, it will declare an Early Termination Date.  This is the date on which  </w:t>
      </w:r>
      <w:r>
        <w:rPr>
          <w:i/>
        </w:rPr>
        <w:t>all</w:t>
      </w:r>
      <w:r>
        <w:rPr/>
        <w:t xml:space="preserve"> transactions will be liquidated and terminated by calculating Settlement Amounts and a Termination Payment.</w:t>
      </w:r>
      <w:r>
        <w:rPr>
          <w:rStyle w:val="FootnoteCharacters"/>
          <w:rStyle w:val="FootnoteReference"/>
        </w:rPr>
        <w:footnoteReference w:id="101"/>
      </w:r>
      <w:r>
        <w:rPr/>
        <w:t xml:space="preserve">  A party may select an Early Termination date from the date it gives notice to a counterparty up to 20 days later.  There is one exception to all transactions being terminated on the stated Termination Date, specifically, if for some reason it is impractical to  terminate on that date or there is a regulatory reason, such as the notice you have to give  to terminate a transaction under the FERC’s regulations.</w:t>
      </w:r>
      <w:r>
        <w:rPr>
          <w:rStyle w:val="FootnoteCharacters"/>
          <w:rStyle w:val="FootnoteReference"/>
        </w:rPr>
        <w:footnoteReference w:id="102"/>
      </w:r>
      <w:r>
        <w:rPr/>
        <w:t xml:space="preserve">  In that event, a party can put those off, not for an indefinite period, but until it is possible (or lawful) to terminate those transactions.</w:t>
      </w:r>
    </w:p>
    <w:p>
      <w:pPr>
        <w:pStyle w:val="Normal"/>
        <w:rPr/>
      </w:pPr>
      <w:r>
        <w:rPr/>
      </w:r>
    </w:p>
    <w:p>
      <w:pPr>
        <w:pStyle w:val="BodyTextIndent"/>
        <w:rPr/>
      </w:pPr>
      <w:r>
        <w:rPr/>
        <w:t>The Settlement Amount in essence “accelerates” damages for the entire remaining term of each transaction.</w:t>
      </w:r>
      <w:r>
        <w:rPr>
          <w:rStyle w:val="FootnoteCharacters"/>
          <w:rStyle w:val="FootnoteReference"/>
        </w:rPr>
        <w:footnoteReference w:id="103"/>
      </w:r>
      <w:r>
        <w:rPr/>
        <w:t xml:space="preserve">  To determine the Settlement Amount, the non-defaulting party, for each terminated transaction:  (a) calculates its economic gains on a net present value basis (resulting from the termination of those transactions that are “out-of-the-money” to the non-defaulting party); (b) deducts the net present value of its economic losses (resulting from the termination of those transactions that are “in-the-money” to the non-defaulting party); and (c) adds in its costs. The Settlement Amounts for every transaction are then aggregated into a Termination Payment by netting out the Settlement Amounts due the defaulting party against the Settlement Amounts due the non-defaulting party along with other amounts that may be due from one party to another under the agreement.  The non-defaulting party has the option of netting out any collateral it holds as Performance Assurance from the settlement amounts to avoid having those assets caught up in a bankruptcy proceeding.  </w:t>
      </w:r>
    </w:p>
    <w:p>
      <w:pPr>
        <w:pStyle w:val="BodyTextIndent"/>
        <w:rPr/>
      </w:pPr>
      <w:r>
        <w:rPr/>
      </w:r>
    </w:p>
    <w:p>
      <w:pPr>
        <w:pStyle w:val="BodyTextIndent"/>
        <w:rPr/>
      </w:pPr>
      <w:r>
        <w:rPr/>
        <w:t>Once the Termination Payment is calculated, the non-defaulting party has to give notice along with some reasonable detail about how it was calculated “as soon as practicable” after the liquidation occurs.  It may take some time to provide this information, which is why no set time was established.  Once notice is sent to the other party, then the amount that is payable is due within two days. The Termination Payment made on the Early Termination Date could go to either the non-defaulting party or the defaulting party based on the results of calculating and aggregating the Settlement Amounts.</w:t>
      </w:r>
    </w:p>
    <w:p>
      <w:pPr>
        <w:pStyle w:val="Normal"/>
        <w:rPr/>
      </w:pPr>
      <w:r>
        <w:rPr/>
      </w:r>
    </w:p>
    <w:p>
      <w:pPr>
        <w:pStyle w:val="BodyTextIndent"/>
        <w:rPr/>
      </w:pPr>
      <w:r>
        <w:rPr/>
        <w:t>The parties can agree to optional Closeout Setoffs in the event the defaulting party would be owed the Termination Payment.</w:t>
      </w:r>
      <w:r>
        <w:rPr>
          <w:rStyle w:val="FootnoteCharacters"/>
          <w:rStyle w:val="FootnoteReference"/>
        </w:rPr>
        <w:footnoteReference w:id="104"/>
      </w:r>
      <w:r>
        <w:rPr/>
        <w:t xml:space="preserve">  Closeout Setoffs are a remedy that allows the non-defaulting party to reduce (“setoff”) the amounts owed to the defaulting party in the Termination Payment by amounts the defaulting party owes to the non-defaulting party under other contracts.</w:t>
      </w:r>
      <w:r>
        <w:rPr>
          <w:rStyle w:val="FootnoteCharacters"/>
          <w:rStyle w:val="FootnoteReference"/>
        </w:rPr>
        <w:footnoteReference w:id="105"/>
      </w:r>
      <w:r>
        <w:rPr/>
        <w:t xml:space="preserve">  One option (Option A) allows setoff for amounts owed under other agreements between the parties to the Master Agreement (e.g., swaps under another master agreement).  Another option (Option B) allows setoff for agreements between affiliates of the defaulting party and the non-defaulting party or cross-affiliate agreements.</w:t>
      </w:r>
      <w:r>
        <w:rPr>
          <w:rStyle w:val="FootnoteCharacters"/>
          <w:rStyle w:val="FootnoteReference"/>
        </w:rPr>
        <w:footnoteReference w:id="106"/>
      </w:r>
      <w:r>
        <w:rPr/>
        <w:t xml:space="preserve">  The default option (Option C) does not permit setoff.</w:t>
      </w:r>
    </w:p>
    <w:p>
      <w:pPr>
        <w:pStyle w:val="BodyText"/>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sz w:val="24"/>
        </w:rPr>
      </w:r>
    </w:p>
    <w:p>
      <w:pPr>
        <w:pStyle w:val="Heading2"/>
        <w:ind w:hanging="0" w:start="0"/>
        <w:rPr/>
      </w:pPr>
      <w:r>
        <w:rPr>
          <w:i w:val="false"/>
          <w:iCs/>
        </w:rPr>
        <w:t>F</w:t>
      </w:r>
      <w:r>
        <w:rPr/>
        <w:t>.</w:t>
        <w:tab/>
        <w:t>Other Provisions of Legal Importance</w:t>
      </w:r>
    </w:p>
    <w:p>
      <w:pPr>
        <w:pStyle w:val="Heading3"/>
        <w:rPr/>
      </w:pPr>
      <w:r>
        <w:rPr/>
        <w:t>1.</w:t>
        <w:tab/>
        <w:t>Show Me the Money – Payment and Netting</w:t>
      </w:r>
    </w:p>
    <w:p>
      <w:pPr>
        <w:pStyle w:val="BodyTextIndent"/>
        <w:rPr/>
      </w:pPr>
      <w:r>
        <w:rPr/>
      </w:r>
    </w:p>
    <w:p>
      <w:pPr>
        <w:pStyle w:val="BodyTextIndent"/>
        <w:rPr/>
      </w:pPr>
      <w:r>
        <w:rPr/>
        <w:t>Article Six (Payment and Netting) in the Master Agreement specifies detailed procedures for settling payments owed for transactions in the ordinary course of business.</w:t>
      </w:r>
      <w:r>
        <w:rPr>
          <w:rStyle w:val="FootnoteCharacters"/>
          <w:rStyle w:val="FootnoteReference"/>
        </w:rPr>
        <w:footnoteReference w:id="107"/>
      </w:r>
      <w:r>
        <w:rPr/>
        <w:t xml:space="preserve">   These standardized payment  procedures, including a payment netting provision are effective risk management tools.  Payment netting allows parties to significantly reduce their exposure to a counterparty  for transaction payments.</w:t>
      </w:r>
      <w:r>
        <w:rPr>
          <w:rStyle w:val="FootnoteCharacters"/>
        </w:rPr>
        <w:t xml:space="preserve"> </w:t>
      </w:r>
      <w:r>
        <w:rPr>
          <w:rStyle w:val="FootnoteCharacters"/>
          <w:rStyle w:val="FootnoteReference"/>
        </w:rPr>
        <w:footnoteReference w:id="108"/>
      </w:r>
      <w:r>
        <w:rPr/>
        <w:t xml:space="preserve">   There is an optional transaction netting procedure allowing the parties, by supplemental agreement, to net offsetting transaction quantities.</w:t>
      </w:r>
      <w:r>
        <w:rPr>
          <w:rStyle w:val="FootnoteCharacters"/>
          <w:rStyle w:val="FootnoteReference"/>
        </w:rPr>
        <w:footnoteReference w:id="109"/>
      </w:r>
      <w:r>
        <w:rPr/>
        <w:t xml:space="preserve">   A standardized billing and payment procedure helps implement payment netting and allow withholding of disputed amounts.</w:t>
      </w:r>
      <w:r>
        <w:rPr>
          <w:rStyle w:val="FootnoteCharacters"/>
          <w:rStyle w:val="FootnoteReference"/>
        </w:rPr>
        <w:footnoteReference w:id="110"/>
      </w:r>
      <w:r>
        <w:rPr/>
        <w:t xml:space="preserve">  </w:t>
      </w:r>
    </w:p>
    <w:p>
      <w:pPr>
        <w:pStyle w:val="Normal"/>
        <w:rPr/>
      </w:pPr>
      <w:r>
        <w:rPr/>
      </w:r>
    </w:p>
    <w:p>
      <w:pPr>
        <w:pStyle w:val="Heading3"/>
        <w:rPr/>
      </w:pPr>
      <w:r>
        <w:rPr/>
        <w:t>2.</w:t>
        <w:tab/>
        <w:t>Governmental Charges</w:t>
      </w:r>
    </w:p>
    <w:p>
      <w:pPr>
        <w:pStyle w:val="Normal"/>
        <w:rPr/>
      </w:pPr>
      <w:r>
        <w:rPr/>
        <w:tab/>
        <w:t>Section 9.1 imposes a duty on each party to administer the Master Agreement so as to minimize all taxes.  In addition, Section 9.2 assigns the Seller responsibility for payment of all applicable governmental charges (</w:t>
      </w:r>
      <w:r>
        <w:rPr>
          <w:i/>
        </w:rPr>
        <w:t xml:space="preserve">e.g., </w:t>
      </w:r>
      <w:r>
        <w:rPr/>
        <w:t>taxes) with respect to getting product to the delivery point specified in a transaction.  The Buyer is responsible for paying similar charges with respect to taking product at and from the delivery point.</w:t>
      </w:r>
    </w:p>
    <w:p>
      <w:pPr>
        <w:pStyle w:val="Normal"/>
        <w:rPr/>
      </w:pPr>
      <w:r>
        <w:rPr/>
        <w:t xml:space="preserve"> </w:t>
      </w:r>
    </w:p>
    <w:p>
      <w:pPr>
        <w:pStyle w:val="BodyTextIndent"/>
        <w:rPr/>
      </w:pPr>
      <w:r>
        <w:rPr/>
        <w:t>3.</w:t>
        <w:tab/>
        <w:t>Commodities Exchange Act and Bankruptcy Code Implications</w:t>
      </w:r>
    </w:p>
    <w:p>
      <w:pPr>
        <w:pStyle w:val="Normal"/>
        <w:rPr/>
      </w:pPr>
      <w:r>
        <w:rPr/>
      </w:r>
    </w:p>
    <w:p>
      <w:pPr>
        <w:pStyle w:val="Normal"/>
        <w:rPr/>
      </w:pPr>
      <w:r>
        <w:rPr/>
        <w:t>The Master Agreement includes numerous representations and warranties in Section 10.2.   Of particular interest are representations that each party is acting on its own account and is capable of assessing the merits and risks of entering into transactions under the Master Agreement.</w:t>
      </w:r>
      <w:r>
        <w:rPr>
          <w:rStyle w:val="FootnoteCharacters"/>
          <w:rStyle w:val="FootnoteReference"/>
        </w:rPr>
        <w:footnoteReference w:id="111"/>
      </w:r>
      <w:r>
        <w:rPr/>
        <w:t xml:space="preserve"> Another representation warrants that each party is a “forward contract merchant” under the United States Bankruptcy Code</w:t>
      </w:r>
      <w:r>
        <w:rPr>
          <w:rStyle w:val="FootnoteCharacters"/>
          <w:rStyle w:val="FootnoteReference"/>
        </w:rPr>
        <w:footnoteReference w:id="112"/>
      </w:r>
      <w:r>
        <w:rPr/>
        <w:t xml:space="preserve">  In addition, in  Section 10.10 the parties stipulate that all transactions executed under the Master Agreement are “forward contracts” under the United States Bankruptcy Code.  </w:t>
      </w:r>
    </w:p>
    <w:p>
      <w:pPr>
        <w:pStyle w:val="BodyTextIndent"/>
        <w:rPr/>
      </w:pPr>
      <w:r>
        <w:rPr/>
      </w:r>
    </w:p>
    <w:p>
      <w:pPr>
        <w:pStyle w:val="BodyTextIndent"/>
        <w:rPr/>
      </w:pPr>
      <w:r>
        <w:rPr/>
        <w:t>In addition, the United States Bankruptcy Code (Code) has special provisions that apply to commodity forward contracts and commodity swaps.  These provisions allow a party to exercise its liquidation and setoff rights under a contract meeting the Code’s definitions of forward contract and swap agreement in the event of the insolvency or bankruptcy of a counterparty.  These are important statutory exceptions to the restrictions the Code generally imposes on actions taken against a debtor and its property.</w:t>
      </w:r>
      <w:r>
        <w:rPr>
          <w:rStyle w:val="FootnoteCharacters"/>
          <w:rStyle w:val="FootnoteReference"/>
        </w:rPr>
        <w:footnoteReference w:id="113"/>
      </w:r>
    </w:p>
    <w:p>
      <w:pPr>
        <w:pStyle w:val="Normal"/>
        <w:rPr/>
      </w:pPr>
      <w:r>
        <w:rPr/>
      </w:r>
    </w:p>
    <w:p>
      <w:pPr>
        <w:pStyle w:val="BodyTextIndent"/>
        <w:rPr/>
      </w:pPr>
      <w:r>
        <w:rPr/>
        <w:t>The Master Agreement’s “forward merchant” recitals also serve to avoid the legal risk of having transactions under the Master Agreement being subject to the Commodities Futures Trade Commission‘s (CFTC) under the Commodities Exchange Act (CEA).   The CEA requires futures contracts which can be financially settled without taking physical delivery to be traded on a recognized exchange regulated by the CFTC, while forward contracts which require physical delivery are exempt from CFTC regulation.</w:t>
      </w:r>
      <w:r>
        <w:rPr>
          <w:rStyle w:val="FootnoteCharacters"/>
          <w:rStyle w:val="FootnoteReference"/>
        </w:rPr>
        <w:footnoteReference w:id="114"/>
      </w:r>
    </w:p>
    <w:p>
      <w:pPr>
        <w:pStyle w:val="Normal"/>
        <w:rPr/>
      </w:pPr>
      <w:r>
        <w:rPr/>
      </w:r>
    </w:p>
    <w:p>
      <w:pPr>
        <w:pStyle w:val="Heading3"/>
        <w:rPr/>
      </w:pPr>
      <w:r>
        <w:rPr/>
        <w:t>4.</w:t>
        <w:tab/>
        <w:t>Governing Law</w:t>
      </w:r>
    </w:p>
    <w:p>
      <w:pPr>
        <w:pStyle w:val="Normal"/>
        <w:rPr/>
      </w:pPr>
      <w:r>
        <w:rPr/>
      </w:r>
    </w:p>
    <w:p>
      <w:pPr>
        <w:pStyle w:val="BodyTextIndent"/>
        <w:rPr/>
      </w:pPr>
      <w:r>
        <w:rPr/>
        <w:t>The law of the State of New York was selected as the governing law for the Master Agreement.</w:t>
      </w:r>
      <w:r>
        <w:rPr>
          <w:rStyle w:val="FootnoteCharacters"/>
          <w:rStyle w:val="FootnoteReference"/>
        </w:rPr>
        <w:footnoteReference w:id="115"/>
      </w:r>
      <w:r>
        <w:rPr/>
        <w:t xml:space="preserve">  The Working Group selected New York for a variety of reasons but generally because it is a very pro-commercial transactions state.  As discussed, </w:t>
      </w:r>
      <w:r>
        <w:rPr>
          <w:i/>
        </w:rPr>
        <w:t>supra</w:t>
      </w:r>
      <w:r>
        <w:rPr/>
        <w:t xml:space="preserve"> at Note 33, New York has a statute of frauds provision that permits binding oral commercial transactions.  Further, New York has a choice of law provision that allows parties with no nexus to the state to select New York law for commercial transactions in excess of a de minimus amount.</w:t>
      </w:r>
    </w:p>
    <w:p>
      <w:pPr>
        <w:pStyle w:val="Normal"/>
        <w:rPr/>
      </w:pPr>
      <w:r>
        <w:rPr/>
      </w:r>
    </w:p>
    <w:p>
      <w:pPr>
        <w:pStyle w:val="BodyTextIndent"/>
        <w:rPr/>
      </w:pPr>
      <w:r>
        <w:rPr>
          <w:rStyle w:val="EndnoteCharacters"/>
          <w:position w:val="0"/>
          <w:sz w:val="24"/>
          <w:vertAlign w:val="baseline"/>
        </w:rPr>
        <w:t>Further</w:t>
      </w:r>
      <w:r>
        <w:rPr/>
        <w:t>, utility members of the working group favored New York because of favorable rulings on the status of electricity regarding strict products tort liability and implied warranties under the UCC.  New York does not recognize electricity as a dangerous “product” that would support a cause of action for strict products liability related to accidents involving utility electric distribution and transmission lines.</w:t>
      </w:r>
      <w:r>
        <w:rPr>
          <w:rStyle w:val="FootnoteCharacters"/>
          <w:rStyle w:val="FootnoteReference"/>
        </w:rPr>
        <w:footnoteReference w:id="116"/>
      </w:r>
      <w:r>
        <w:rPr/>
        <w:t xml:space="preserve">  Moreover, New York law does not consider electricity a “good” for purposes of the sale of goods provisions in Article 2 of the UCC.</w:t>
      </w:r>
      <w:r>
        <w:rPr>
          <w:rStyle w:val="FootnoteCharacters"/>
          <w:rStyle w:val="FootnoteReference"/>
        </w:rPr>
        <w:footnoteReference w:id="117"/>
      </w:r>
    </w:p>
    <w:p>
      <w:pPr>
        <w:pStyle w:val="Normal"/>
        <w:rPr/>
      </w:pPr>
      <w:r>
        <w:rPr/>
      </w:r>
    </w:p>
    <w:p>
      <w:pPr>
        <w:pStyle w:val="Normal"/>
        <w:rPr/>
      </w:pPr>
      <w:r>
        <w:rPr/>
      </w:r>
    </w:p>
    <w:p>
      <w:pPr>
        <w:pStyle w:val="Heading1"/>
        <w:ind w:hanging="0" w:start="0"/>
        <w:rPr/>
      </w:pPr>
      <w:r>
        <w:rPr/>
        <w:t>V.  FERC Tariff and Filing Requirements</w:t>
      </w:r>
    </w:p>
    <w:p>
      <w:pPr>
        <w:pStyle w:val="Header"/>
        <w:rPr/>
      </w:pPr>
      <w:r>
        <w:rPr/>
      </w:r>
    </w:p>
    <w:p>
      <w:pPr>
        <w:pStyle w:val="BodyTextIndent"/>
        <w:rPr/>
      </w:pPr>
      <w:r>
        <w:rPr/>
        <w:t>The Working Group also addressed how to use the Master Agreement under the FERC’s tariff and filing requirements for market-based sellers.  With guidance from FERC staff, the Drafting Committee developed a tariff and service agreement structure that allows the maximum flexibility to use the Master Agreement under the restrictions imposed by the current law for market-based transactions.  Competitive bulk power transactions are “quasi-regulated” by the FERC today because the 1935 Federal Power Act (FPA) still requires it to protect captive customers from undue discrimination and abuse of market power.  The FERC’s acceptance of minimal market-based tariffs and quarterly short-term transaction reporting reflects a compromise with the practical realities of doing business in the competitive wholesale electricity market that emerged after the Energy Policy Act of 1992.  Under traditional regulation, the filed rate doctrine as embodied in FPA section 205 and mirrored in Part 35 of FERC’s regulations requires cost-based jurisdictional sellers to file in advance all documentation related to transactions under the Master Agreement, as well as, all subsequent changes to the documentation.</w:t>
      </w:r>
      <w:r>
        <w:rPr>
          <w:rStyle w:val="FootnoteCharacters"/>
          <w:rStyle w:val="FootnoteReference"/>
        </w:rPr>
        <w:footnoteReference w:id="118"/>
      </w:r>
    </w:p>
    <w:p>
      <w:pPr>
        <w:pStyle w:val="BodyTextIndent"/>
        <w:rPr/>
      </w:pPr>
      <w:r>
        <w:rPr/>
      </w:r>
    </w:p>
    <w:p>
      <w:pPr>
        <w:pStyle w:val="BodyTextIndent"/>
        <w:rPr/>
      </w:pPr>
      <w:r>
        <w:rPr/>
        <w:t>The FERC’s market-based tariff and filing requirements, however, are not embodied in generic regulations.  Instead, they exist in a continuously evolving series of case-specific decisions, with differing results depending on a seller’s perceived level of market power.</w:t>
      </w:r>
      <w:r>
        <w:rPr>
          <w:rStyle w:val="FootnoteCharacters"/>
          <w:rStyle w:val="FootnoteReference"/>
        </w:rPr>
        <w:footnoteReference w:id="119"/>
      </w:r>
      <w:r>
        <w:rPr/>
        <w:t xml:space="preserve">  Nevertheless, these decisions have followed a somewhat discernable set of policies in matching traditional utility regulation with today’s competitive commercial transactions based on whether the sellers own generation or have captive customers.</w:t>
      </w:r>
      <w:r>
        <w:rPr>
          <w:rStyle w:val="FootnoteCharacters"/>
          <w:rStyle w:val="FootnoteReference"/>
        </w:rPr>
        <w:footnoteReference w:id="120"/>
      </w:r>
      <w:r>
        <w:rPr/>
        <w:t xml:space="preserve">  </w:t>
      </w:r>
    </w:p>
    <w:p>
      <w:pPr>
        <w:pStyle w:val="BodyTextIndent"/>
        <w:rPr/>
      </w:pPr>
      <w:r>
        <w:rPr/>
      </w:r>
    </w:p>
    <w:p>
      <w:pPr>
        <w:pStyle w:val="BodyTextIndent"/>
        <w:rPr/>
      </w:pPr>
      <w:r>
        <w:rPr/>
        <w:t>Thus, to make sales at market-based rates, an asset-based utility (that owns generating assets) must file a market-based tariff in advance, and all contracts for a term that is longer than a year must be filed 30 days after service begins.  For shorter-term sales, the asset-based utility must file an “umbrella” (general) service agreement identifying the customer within 30 days after service begins, but specific transactions and rates need not be filed at that time.  Instead, the asset-based utility must file quarterly reports summarizing the previous quarter’s transactions to satisfy the filed rate doctrine.</w:t>
      </w:r>
      <w:r>
        <w:rPr>
          <w:rStyle w:val="FootnoteCharacters"/>
          <w:rStyle w:val="FootnoteReference"/>
        </w:rPr>
        <w:footnoteReference w:id="121"/>
      </w:r>
      <w:r>
        <w:rPr/>
        <w:t xml:space="preserve">  </w:t>
      </w:r>
    </w:p>
    <w:p>
      <w:pPr>
        <w:pStyle w:val="BodyTextIndent"/>
        <w:rPr/>
      </w:pPr>
      <w:r>
        <w:rPr/>
      </w:r>
    </w:p>
    <w:p>
      <w:pPr>
        <w:pStyle w:val="BodyTextIndent"/>
        <w:rPr/>
      </w:pPr>
      <w:r>
        <w:rPr/>
        <w:t>Although the asset-based sellers’ responses to these requirements vary, many vertically integrated investor owned utilities have file “fat” market-based tariffs with the detailed terms and conditions they wish to apply to all transactions because of their long history of filing extensive documentation under cost-based regulation.  Another reason utilities file “fat” tariffs is that they believe they will have the legal certainty that important terms will be enforceable in individual transactions.  The “fat” tariff, however, severely limits counterparty flexibility to vary specific transaction terms because filed tariff terms will trump both filed and unfiled inconsistent contract terms.</w:t>
      </w:r>
      <w:r>
        <w:rPr>
          <w:rStyle w:val="FootnoteCharacters"/>
          <w:rStyle w:val="FootnoteReference"/>
        </w:rPr>
        <w:footnoteReference w:id="122"/>
      </w:r>
      <w:r>
        <w:rPr/>
        <w:t xml:space="preserve">  Also, tariffs seldom are read in the commercial setting of competitive electricity marketing.</w:t>
      </w:r>
    </w:p>
    <w:p>
      <w:pPr>
        <w:pStyle w:val="BodyTextIndent"/>
        <w:rPr/>
      </w:pPr>
      <w:r>
        <w:rPr/>
      </w:r>
    </w:p>
    <w:p>
      <w:pPr>
        <w:pStyle w:val="BodyTextIndent"/>
        <w:rPr/>
      </w:pPr>
      <w:r>
        <w:rPr/>
        <w:t>Pure marketers (without generating assets) have more lenient filing requirements under FERC policies.  They must file a market-based tariff in advance, but specific sales contracts or service agreements need not be filed regardless of their duration.  Instead, pure marketers are required to file only quarterly transaction reports.  They file “thin” streamlined tariffs which permit maximum flexibility to craft individual competitive transactions.  In today’s competitive commercial setting, marketers are concerned less about the legal certainty afforded by filing terms and conditions at the FERC and are more concerned with publicly disclosing information that would give their competitors an advantage.</w:t>
      </w:r>
      <w:r>
        <w:rPr>
          <w:rStyle w:val="FootnoteCharacters"/>
          <w:rStyle w:val="FootnoteReference"/>
        </w:rPr>
        <w:footnoteReference w:id="123"/>
      </w:r>
      <w:r>
        <w:rPr/>
        <w:t xml:space="preserve">  The FERC currently denies requests for confidential treatment of the information marketers must file.</w:t>
      </w:r>
      <w:r>
        <w:rPr>
          <w:rStyle w:val="FootnoteCharacters"/>
          <w:rStyle w:val="FootnoteReference"/>
        </w:rPr>
        <w:footnoteReference w:id="124"/>
      </w:r>
    </w:p>
    <w:p>
      <w:pPr>
        <w:pStyle w:val="BodyTextIndent"/>
        <w:rPr/>
      </w:pPr>
      <w:r>
        <w:rPr/>
        <w:t xml:space="preserve">Today’s law may change due to a May 27, 1999 decision in </w:t>
      </w:r>
      <w:r>
        <w:rPr>
          <w:i/>
          <w:iCs/>
        </w:rPr>
        <w:t>Southern Company Services, Inc</w:t>
      </w:r>
      <w:r>
        <w:rPr/>
        <w:t xml:space="preserve"> (</w:t>
      </w:r>
      <w:r>
        <w:rPr>
          <w:i/>
          <w:iCs/>
        </w:rPr>
        <w:t>Southern</w:t>
      </w:r>
      <w:r>
        <w:rPr/>
        <w:t>)</w:t>
      </w:r>
      <w:r>
        <w:rPr>
          <w:i/>
          <w:iCs/>
        </w:rPr>
        <w:t>.</w:t>
      </w:r>
      <w:r>
        <w:rPr>
          <w:rStyle w:val="FootnoteCharacters"/>
          <w:rStyle w:val="FootnoteReference"/>
        </w:rPr>
        <w:footnoteReference w:id="125"/>
      </w:r>
      <w:r>
        <w:rPr/>
        <w:t xml:space="preserve">  In </w:t>
      </w:r>
      <w:r>
        <w:rPr>
          <w:i/>
          <w:iCs/>
        </w:rPr>
        <w:t>Southern</w:t>
      </w:r>
      <w:r>
        <w:rPr/>
        <w:t xml:space="preserve">, the FERC required all power marketers to file long-term contracts, whether they owned generation or not, based on its perception of the differences between short-term and long-term transactions.  The Commission stayed the effectiveness of </w:t>
      </w:r>
      <w:r>
        <w:rPr>
          <w:i/>
          <w:iCs/>
        </w:rPr>
        <w:t>Southern</w:t>
      </w:r>
      <w:r>
        <w:rPr/>
        <w:t>, made all affected power marketers part of the proceeding and invited comments on a second rehearing.  Many parties, including members of the Working Group, commented because the decision focused attention on the information that should be disclosed publicly by the participants in competitive electricity markets.</w:t>
      </w:r>
      <w:r>
        <w:rPr>
          <w:rStyle w:val="FootnoteCharacters"/>
          <w:rStyle w:val="FootnoteReference"/>
        </w:rPr>
        <w:footnoteReference w:id="126"/>
      </w:r>
      <w:r>
        <w:rPr/>
        <w:t xml:space="preserve">  For instance, the potential for public disclosure of  sensitive credit information from the Cover Sheet of the Master Agreement is viewed by many Working Group members as a significant impediment to its widespread use.</w:t>
      </w:r>
    </w:p>
    <w:p>
      <w:pPr>
        <w:pStyle w:val="BodyTextIndent"/>
        <w:rPr/>
      </w:pPr>
      <w:r>
        <w:rPr/>
      </w:r>
    </w:p>
    <w:p>
      <w:pPr>
        <w:pStyle w:val="BodyTextIndent"/>
        <w:rPr/>
      </w:pPr>
      <w:r>
        <w:rPr/>
        <w:t xml:space="preserve">Another potential change in the law might come from an appeal to the United States Circuit Court of Appeals for the District of Columbia of .a series of cases involving the FERC’s authority under the FPA to allow parties to </w:t>
      </w:r>
      <w:r>
        <w:rPr>
          <w:i/>
          <w:iCs/>
        </w:rPr>
        <w:t>not</w:t>
      </w:r>
      <w:r>
        <w:rPr/>
        <w:t xml:space="preserve"> file certain market-based transaction documents.  In </w:t>
      </w:r>
      <w:r>
        <w:rPr>
          <w:i/>
          <w:iCs/>
        </w:rPr>
        <w:t>Southern Company Energy Marketing, L.P.</w:t>
      </w:r>
      <w:r>
        <w:rPr/>
        <w:t xml:space="preserve">, </w:t>
      </w:r>
      <w:r>
        <w:rPr>
          <w:i/>
          <w:iCs/>
        </w:rPr>
        <w:t xml:space="preserve">et al. </w:t>
      </w:r>
      <w:r>
        <w:rPr/>
        <w:t>(aka the PCA case), the FERC ruled that the 60-day advance notice required by FPA section 205 and Section 35.15 of its regulations is not needed to terminate market-based sales enabled by an umbrella sales agreement when the specific transaction terms are not required to be on file.</w:t>
      </w:r>
      <w:r>
        <w:rPr>
          <w:rStyle w:val="FootnoteCharacters"/>
          <w:rStyle w:val="FootnoteReference"/>
        </w:rPr>
        <w:footnoteReference w:id="127"/>
      </w:r>
      <w:r>
        <w:rPr/>
        <w:t xml:space="preserve">  Thus, not having to file specific contract terms at the FERC allows parties to respond quickly to counterparty defaults through exercising the liquidation and termination provisions of the Master Agreement.  Some FERC counsel are concerned that the appeal has gone beyond the narrow issue of the case to the broader issue of whether the FERC has authority to allow companies subject to its jurisdiction to not file contracts and to raise the FPA as fundamental law that cannot be waived.  Such a result would be a major setback to emerging competitive electricity markets.</w:t>
      </w:r>
    </w:p>
    <w:p>
      <w:pPr>
        <w:pStyle w:val="BodyTextIndent"/>
        <w:rPr/>
      </w:pPr>
      <w:r>
        <w:rPr/>
      </w:r>
    </w:p>
    <w:p>
      <w:pPr>
        <w:pStyle w:val="BodyTextIndent"/>
        <w:rPr/>
      </w:pPr>
      <w:r>
        <w:rPr/>
        <w:t xml:space="preserve">Thus, the Drafting Committee faced uncertainty in the law, asymmetric filing requirements, and diverse industry compliance practices when it began to develop a FERC compliance strategy for using the Master Agreement.  Many utilities particularly were concerned that the detailed terms in their market-based tariffs would conflict with the terms of the Master Agreement.  To sort out these issues, members of the Drafting Committee and public power representatives met with the Commission Staff on February 1, 2000 to explain the Master Agreement.  The Commission Staff reacted favorably to the Master Contract and offered helpful suggestions for its implementation under their policies and regulations.  </w:t>
      </w:r>
    </w:p>
    <w:p>
      <w:pPr>
        <w:pStyle w:val="BodyTextIndent"/>
        <w:rPr/>
      </w:pPr>
      <w:r>
        <w:rPr/>
      </w:r>
    </w:p>
    <w:p>
      <w:pPr>
        <w:pStyle w:val="BodyTextIndent"/>
        <w:rPr/>
      </w:pPr>
      <w:r>
        <w:rPr/>
        <w:t xml:space="preserve">These are the key points raised in the meeting. Consistent with the FERC’s </w:t>
      </w:r>
      <w:r>
        <w:rPr>
          <w:bCs/>
          <w:i/>
        </w:rPr>
        <w:t>Toledo Edison</w:t>
      </w:r>
      <w:r>
        <w:rPr>
          <w:b/>
          <w:i/>
        </w:rPr>
        <w:t xml:space="preserve"> </w:t>
      </w:r>
      <w:r>
        <w:rPr>
          <w:bCs/>
          <w:iCs/>
        </w:rPr>
        <w:t>decision</w:t>
      </w:r>
      <w:r>
        <w:rPr/>
        <w:t>,</w:t>
      </w:r>
      <w:r>
        <w:rPr>
          <w:rStyle w:val="FootnoteCharacters"/>
          <w:rStyle w:val="FootnoteReference"/>
        </w:rPr>
        <w:footnoteReference w:id="128"/>
      </w:r>
      <w:r>
        <w:rPr/>
        <w:t xml:space="preserve"> the Staff’s expectation and preference is to avoid the repetitive filing of lengthy terms and conditions for market-based transactions.  Staff is comfortable if traditional (generation owning) utilities with market-based authority filed a “thin” streamlined market-based tariff to implement the Master Agreement.  The streamlined tariff could coexist with more detailed tariffs already on file.  The detailed tariffs could later be withdrawn if the transactions under them expire or are transferred by agreement of the parties to the governing terms of a streamlined tariff and Master Agreement.</w:t>
      </w:r>
    </w:p>
    <w:p>
      <w:pPr>
        <w:pStyle w:val="Header"/>
        <w:tabs>
          <w:tab w:val="clear" w:pos="4320"/>
          <w:tab w:val="clear" w:pos="8640"/>
        </w:tabs>
        <w:rPr/>
      </w:pPr>
      <w:r>
        <w:rPr/>
      </w:r>
    </w:p>
    <w:p>
      <w:pPr>
        <w:pStyle w:val="BodyTextIndent"/>
        <w:rPr/>
      </w:pPr>
      <w:r>
        <w:rPr/>
        <w:t>In addition to the streamlined tariff, traditional utilities entering into short term transactions of one year or less can submit a streamlined service agreement that designates a counterparty with whom they conduct transactions under the Master Contract within 30 days of commencement of service.  The service agreement can be in the form of a short document that identifies the counterparties; that can be executed and filed with the Commission.  Particular short term transactions must be included in the quarterly transaction reports submitted to the FERC.</w:t>
      </w:r>
    </w:p>
    <w:p>
      <w:pPr>
        <w:pStyle w:val="Header"/>
        <w:tabs>
          <w:tab w:val="clear" w:pos="4320"/>
          <w:tab w:val="clear" w:pos="8640"/>
        </w:tabs>
        <w:rPr/>
      </w:pPr>
      <w:r>
        <w:rPr/>
      </w:r>
    </w:p>
    <w:p>
      <w:pPr>
        <w:pStyle w:val="Header"/>
        <w:tabs>
          <w:tab w:val="clear" w:pos="4320"/>
          <w:tab w:val="clear" w:pos="8640"/>
        </w:tabs>
        <w:ind w:firstLine="720" w:end="0"/>
        <w:rPr/>
      </w:pPr>
      <w:r>
        <w:rPr/>
        <w:t xml:space="preserve">For long term transactions of over one year, the Commission will continue to require traditional utilities to file the entire Master Contract, including the executed cover sheet and general terms and conditions, as well as the confirmation letter related to the transaction.  At least for now, non-asset-based marketers only need to report their long and short-term transactions under the Master Agreement in the quarterly report.  There is interest among the Drafting Committee to have follow up discussions with the Staff regarding how the filing of long term transactions could still permit a single timely liquidation and termination under the procedures specified in the Master Agreement upon an event of default.  </w:t>
      </w:r>
    </w:p>
    <w:p>
      <w:pPr>
        <w:pStyle w:val="Normal"/>
        <w:rPr/>
      </w:pPr>
      <w:r>
        <w:rPr/>
      </w:r>
      <w:r>
        <w:br w:type="page"/>
      </w:r>
    </w:p>
    <w:p>
      <w:pPr>
        <w:pStyle w:val="BodyTextIndent"/>
        <w:rPr/>
      </w:pPr>
      <w:r>
        <w:rPr/>
        <w:t>The FERC compliance effort culminated in the creation of a model short-form utility market-based tariff and umbrella service agreement.</w:t>
      </w:r>
      <w:r>
        <w:rPr>
          <w:rStyle w:val="FootnoteCharacters"/>
          <w:rStyle w:val="FootnoteReference"/>
        </w:rPr>
        <w:footnoteReference w:id="129"/>
      </w:r>
      <w:r>
        <w:rPr/>
        <w:t xml:space="preserve">  These documents are intended for use by traditional (generation owning) utilities in conjunction with the Master Contract to comply with the FERC’s market-based tariff filing requirements. The short-form tariff also can be adapted for use by other competitive wholesale market participants.</w:t>
      </w:r>
      <w:r>
        <w:rPr>
          <w:rStyle w:val="FootnoteCharacters"/>
          <w:rStyle w:val="FootnoteReference"/>
        </w:rPr>
        <w:footnoteReference w:id="130"/>
      </w:r>
    </w:p>
    <w:p>
      <w:pPr>
        <w:pStyle w:val="Heading1"/>
        <w:ind w:hanging="0" w:start="0"/>
        <w:rPr/>
      </w:pPr>
      <w:r>
        <w:rPr/>
      </w:r>
    </w:p>
    <w:p>
      <w:pPr>
        <w:pStyle w:val="Heading1"/>
        <w:ind w:hanging="0" w:start="0"/>
        <w:rPr/>
      </w:pPr>
      <w:r>
        <w:rPr/>
        <w:t>VI.  Current Status and Future of EEI-NEM Master Agreement</w:t>
      </w:r>
    </w:p>
    <w:p>
      <w:pPr>
        <w:pStyle w:val="Normal"/>
        <w:rPr/>
      </w:pPr>
      <w:r>
        <w:rPr/>
      </w:r>
    </w:p>
    <w:p>
      <w:pPr>
        <w:pStyle w:val="BodyTextIndent"/>
        <w:rPr/>
      </w:pPr>
      <w:r>
        <w:rPr/>
        <w:t>Since its rollout, some of the key players in the wholesale power market are using the Master Agreement, including Constellation Power Source, Duke Energy Trading, Enron North America, Entergy Marketing, Reliant Energy and Southern Energy, Inc..  In general, power marketers are adopting the Master Agreement faster than traditional utilities because of their relative comfort level with how the document’s terms address performance and financial risk.  Another factor is the willingness or need to change trading floor, mid and back office operations to accommodate using the Master Agreement.  As mentioned, however, three utilities have made tariff filings at the FERC specifically to use the Master Agreement.  Many market participants are undertaking internal reviews to determine whether to use the document.  In addition, the Mid-Continent Area Power Pool is getting ready to adopt the Master Agreement as the standard agreement for its members’ market-based transactions.  Ultimately the developers feel that the Master Agreement’s superiority to other master agreements to mitigate business and legal risks will increase its use.</w:t>
      </w:r>
    </w:p>
    <w:p>
      <w:pPr>
        <w:pStyle w:val="Normal"/>
        <w:rPr/>
      </w:pPr>
      <w:r>
        <w:rPr/>
      </w:r>
    </w:p>
    <w:p>
      <w:pPr>
        <w:pStyle w:val="BodyTextIndent"/>
        <w:rPr/>
      </w:pPr>
      <w:r>
        <w:rPr/>
        <w:t xml:space="preserve">The Working Group intends to keep meeting periodically to keep the Master Agreement current.  This Fall it will assess the market’s experience with the Master Agreement after the Summer of 2000 peak demand period.   One area of particular interest is the types of customized amendments that the parties have attached to the Master Agreement.  The working group plans to request parties’ cover sheets to consider what standard language for frequently used customized provisions might be developed in the future.  To date, the Working Group has been unable to reach consensus on several contract features:  (1)  standardized alternative dispute resolution mechanisms, (2) treatment of new taxes or changes in regulatory policy, (3) cross commodity netting, and (4) the impact of bookouts on daisy chain transactions.  These issues also may be addressed in future efforts by the Working Group </w:t>
      </w:r>
    </w:p>
    <w:p>
      <w:pPr>
        <w:pStyle w:val="BodyTextIndent"/>
        <w:rPr/>
      </w:pPr>
      <w:r>
        <w:rPr/>
      </w:r>
    </w:p>
    <w:p>
      <w:pPr>
        <w:pStyle w:val="BodyTextIndent"/>
        <w:rPr/>
      </w:pPr>
      <w:r>
        <w:rPr/>
        <w:t>Notwithstanding some unresolved issues, the Drafting Committee does not want to make significant revisions to the general terms and conditions of the Master Agreement until it has been in use longer. Undoubtedly, disputes over contract interpretation will arise necessitating ironing out ambiguities.  Nevertheless, the current version of the Master Agreement represents a significant step forward in power trading documentation.</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 xml:space="preserve">- </w:t>
    </w:r>
    <w:r>
      <w:rPr/>
      <w:fldChar w:fldCharType="begin"/>
    </w:r>
    <w:r>
      <w:rPr/>
      <w:instrText xml:space="preserve"> PAGE </w:instrText>
    </w:r>
    <w:r>
      <w:rPr/>
      <w:fldChar w:fldCharType="separate"/>
    </w:r>
    <w:r>
      <w:rPr/>
      <w:t>31</w:t>
    </w:r>
    <w:r>
      <w:rPr/>
      <w:fldChar w:fldCharType="end"/>
    </w:r>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t>*</w:t>
      </w:r>
      <w:r>
        <w:rPr/>
        <w:t xml:space="preserve"> </w:t>
      </w:r>
      <w:r>
        <w:rPr/>
        <w:t>Andrew S. Katz is Director of Industry Legal Affairs, Edison Electric Institute in Washington, D.C.  Prior to joining EEI, he was Chief Staff Counsel for the Maryland Public Service Commission.</w:t>
      </w:r>
    </w:p>
  </w:footnote>
  <w:footnote w:id="3">
    <w:p>
      <w:pPr>
        <w:pStyle w:val="FootnoteText"/>
        <w:rPr/>
      </w:pPr>
      <w:r>
        <w:rPr>
          <w:rStyle w:val="FootnoteCharacters"/>
        </w:rPr>
        <w:footnoteRef/>
      </w:r>
      <w:r>
        <w:rPr/>
        <w:t xml:space="preserve"> </w:t>
      </w:r>
      <w:r>
        <w:rPr>
          <w:i/>
        </w:rPr>
        <w:t>See</w:t>
      </w:r>
      <w:r>
        <w:rPr/>
        <w:t xml:space="preserve"> Shirley S. Savage, POWER MARKET RISK MANAGEMENT:  A SURVIVAL GUIDE, Financial Times Energy  (1</w:t>
      </w:r>
      <w:r>
        <w:rPr>
          <w:vertAlign w:val="superscript"/>
        </w:rPr>
        <w:t>st</w:t>
      </w:r>
      <w:r>
        <w:rPr/>
        <w:t xml:space="preserve"> Ed.) 2000, 18-33;  See also Perry Sioshansi and Art Altman, </w:t>
      </w:r>
      <w:r>
        <w:rPr>
          <w:i/>
        </w:rPr>
        <w:t>Power Marketers:  Who Are They, and What Do They Do?</w:t>
      </w:r>
      <w:r>
        <w:rPr/>
        <w:t>,  The Electricity Journal 85 (Dec. 1998).</w:t>
      </w:r>
    </w:p>
  </w:footnote>
  <w:footnote w:id="4">
    <w:p>
      <w:pPr>
        <w:pStyle w:val="FootnoteText"/>
        <w:rPr/>
      </w:pPr>
      <w:r>
        <w:rPr>
          <w:rStyle w:val="FootnoteCharacters"/>
        </w:rPr>
        <w:footnoteRef/>
      </w:r>
      <w:r>
        <w:rPr/>
        <w:t xml:space="preserve"> </w:t>
      </w:r>
      <w:r>
        <w:rPr/>
        <w:t xml:space="preserve">Electricity is physically a more complicated energy commodity due to the physics of electron flows and lack of storage capability.  Of course, like two sides of the same coin, risk and opportunity are interdependent.  See Rebecca Smith, </w:t>
      </w:r>
      <w:r>
        <w:rPr>
          <w:i/>
        </w:rPr>
        <w:t>Volatility in Energy Prices Boosts Traders’ Earnings</w:t>
      </w:r>
      <w:r>
        <w:rPr/>
        <w:t>, Wall Street Journal, (July 14, 2000).</w:t>
      </w:r>
    </w:p>
  </w:footnote>
  <w:footnote w:id="5">
    <w:p>
      <w:pPr>
        <w:pStyle w:val="FootnoteText"/>
        <w:rPr/>
      </w:pPr>
      <w:r>
        <w:rPr>
          <w:rStyle w:val="FootnoteCharacters"/>
        </w:rPr>
        <w:footnoteRef/>
      </w:r>
      <w:r>
        <w:rPr/>
        <w:t xml:space="preserve">Brandon Becker and Francois-Ihonr Mazur, </w:t>
      </w:r>
      <w:r>
        <w:rPr>
          <w:i/>
        </w:rPr>
        <w:t>Risk Management of Financial Derivative Products:  Who’s Responsible for What?</w:t>
      </w:r>
      <w:r>
        <w:rPr/>
        <w:t>, 21 JCORPL 177 (1995).</w:t>
      </w:r>
    </w:p>
  </w:footnote>
  <w:footnote w:id="6">
    <w:p>
      <w:pPr>
        <w:pStyle w:val="FootnoteText"/>
        <w:rPr/>
      </w:pPr>
      <w:r>
        <w:rPr>
          <w:rStyle w:val="FootnoteCharacters"/>
        </w:rPr>
        <w:footnoteRef/>
      </w:r>
      <w:r>
        <w:rPr/>
        <w:t xml:space="preserve"> </w:t>
      </w:r>
      <w:r>
        <w:rPr>
          <w:i/>
        </w:rPr>
        <w:t>See</w:t>
      </w:r>
      <w:r>
        <w:rPr/>
        <w:t xml:space="preserve">  Dragana Pilipovic, Energy Risk:  Valuing and Managing Energy Derivatives, Ch. 1 </w:t>
      </w:r>
      <w:r>
        <w:rPr>
          <w:i/>
        </w:rPr>
        <w:t xml:space="preserve">What Makes Energies Different? </w:t>
      </w:r>
      <w:r>
        <w:rPr/>
        <w:t xml:space="preserve"> (1</w:t>
      </w:r>
      <w:r>
        <w:rPr>
          <w:vertAlign w:val="superscript"/>
        </w:rPr>
        <w:t>st</w:t>
      </w:r>
      <w:r>
        <w:rPr/>
        <w:t xml:space="preserve"> ed. 1998). </w:t>
      </w:r>
    </w:p>
  </w:footnote>
  <w:footnote w:id="7">
    <w:p>
      <w:pPr>
        <w:pStyle w:val="FootnoteText"/>
        <w:rPr/>
      </w:pPr>
      <w:r>
        <w:rPr>
          <w:rStyle w:val="FootnoteCharacters"/>
        </w:rPr>
        <w:footnoteRef/>
      </w:r>
      <w:r>
        <w:rPr>
          <w:i/>
          <w:iCs/>
        </w:rPr>
        <w:t xml:space="preserve">See </w:t>
      </w:r>
      <w:r>
        <w:rPr/>
        <w:t xml:space="preserve">RELIABILITY OF THE BULK ELECTRICITY SUPPLY IN NORTH AMERICA, North American Electric Reliability Council, May 2000.  </w:t>
      </w:r>
    </w:p>
  </w:footnote>
  <w:footnote w:id="8">
    <w:p>
      <w:pPr>
        <w:pStyle w:val="FootnoteText"/>
        <w:rPr/>
      </w:pPr>
      <w:r>
        <w:rPr>
          <w:rStyle w:val="FootnoteCharacters"/>
        </w:rPr>
        <w:footnoteRef/>
      </w:r>
      <w:r>
        <w:rPr/>
        <w:t xml:space="preserve"> </w:t>
      </w:r>
      <w:r>
        <w:rPr/>
        <w:t>See Staff Report to the Federal Energy Regulatory Commission on the Causes of the Pricing Abnormalities in the Midwest during June 1998 (Sept. 28, 1998).  (</w:t>
      </w:r>
      <w:r>
        <w:rPr>
          <w:i/>
        </w:rPr>
        <w:t xml:space="preserve">hereinafter </w:t>
      </w:r>
      <w:r>
        <w:rPr/>
        <w:t xml:space="preserve">“Staff Report”). </w:t>
      </w:r>
    </w:p>
  </w:footnote>
  <w:footnote w:id="9">
    <w:p>
      <w:pPr>
        <w:pStyle w:val="FootnoteText"/>
        <w:rPr/>
      </w:pPr>
      <w:r>
        <w:rPr>
          <w:rStyle w:val="FootnoteCharacters"/>
        </w:rPr>
        <w:footnoteRef/>
      </w:r>
      <w:r>
        <w:rPr/>
        <w:t xml:space="preserve"> </w:t>
      </w:r>
      <w:r>
        <w:rPr/>
        <w:t>See MARKETER BANKRUPTCY FILING LISTS CLAIMS OF $236-MILLION FROM TUMULT,   Electric Utility Week (formerly Electrical Week), (September 7, 1998).</w:t>
      </w:r>
    </w:p>
  </w:footnote>
  <w:footnote w:id="10">
    <w:p>
      <w:pPr>
        <w:pStyle w:val="FootnoteText"/>
        <w:rPr/>
      </w:pPr>
      <w:r>
        <w:rPr>
          <w:rStyle w:val="FootnoteCharacters"/>
        </w:rPr>
        <w:footnoteRef/>
      </w:r>
      <w:r>
        <w:rPr>
          <w:i/>
        </w:rPr>
        <w:t>See</w:t>
      </w:r>
      <w:r>
        <w:rPr/>
        <w:t xml:space="preserve">  Lynn Garner, Bob Matyi, Catherine Cash, CINERGY DEFENDS FORCE MAJEURE ACTION, BUT ANGRY MARKETERS SEE 'PRICE MAJEURE', Power Markets Week, (August 9, 1999)</w:t>
      </w:r>
    </w:p>
  </w:footnote>
  <w:footnote w:id="11">
    <w:p>
      <w:pPr>
        <w:pStyle w:val="FootnoteText"/>
        <w:rPr/>
      </w:pPr>
      <w:r>
        <w:rPr>
          <w:rStyle w:val="FootnoteCharacters"/>
        </w:rPr>
        <w:footnoteRef/>
      </w:r>
      <w:r>
        <w:rPr/>
        <w:t xml:space="preserve"> </w:t>
      </w:r>
      <w:r>
        <w:rPr/>
        <w:t xml:space="preserve">See CITING 'VOLATILITY' AND 'UNACCEPTABLE RISK,' NAEC DECIDES TO QUIT POWER MARKETING, Power Markets Week, (September 14, 1998;  </w:t>
      </w:r>
      <w:r>
        <w:rPr>
          <w:i/>
          <w:iCs/>
        </w:rPr>
        <w:t>Four</w:t>
      </w:r>
      <w:r>
        <w:rPr>
          <w:i/>
        </w:rPr>
        <w:t xml:space="preserve"> buyers grab LG&amp;E Energy Marketing portfolios</w:t>
      </w:r>
      <w:r>
        <w:rPr/>
        <w:t>, Megawatt Daily, (November 13, 1998).</w:t>
      </w:r>
    </w:p>
  </w:footnote>
  <w:footnote w:id="12">
    <w:p>
      <w:pPr>
        <w:pStyle w:val="FootnoteText"/>
        <w:rPr/>
      </w:pPr>
      <w:r>
        <w:rPr>
          <w:rStyle w:val="FootnoteCharacters"/>
        </w:rPr>
        <w:footnoteRef/>
      </w:r>
      <w:r>
        <w:rPr>
          <w:i/>
        </w:rPr>
        <w:t>See</w:t>
      </w:r>
      <w:r>
        <w:rPr/>
        <w:t xml:space="preserve"> Mark E. Haedicke, </w:t>
      </w:r>
      <w:r>
        <w:rPr>
          <w:i/>
        </w:rPr>
        <w:t>Competitive Based Contracts for the New Power Business</w:t>
      </w:r>
      <w:r>
        <w:rPr/>
        <w:t>, 17 Energy LJ 103, 118-119  (1996).</w:t>
      </w:r>
    </w:p>
  </w:footnote>
  <w:footnote w:id="13">
    <w:p>
      <w:pPr>
        <w:pStyle w:val="FootnoteText"/>
        <w:rPr/>
      </w:pPr>
      <w:r>
        <w:rPr>
          <w:rStyle w:val="FootnoteCharacters"/>
        </w:rPr>
        <w:footnoteRef/>
      </w:r>
      <w:r>
        <w:rPr/>
        <w:t xml:space="preserve"> </w:t>
      </w:r>
      <w:r>
        <w:rPr/>
        <w:t>These include:  cost-based and market-based tariffs;  cost-based and market-based service agreements; unilateral contracts; bilateral contracts; and pool-enabled transaction terms and conditions.</w:t>
      </w:r>
    </w:p>
  </w:footnote>
  <w:footnote w:id="14">
    <w:p>
      <w:pPr>
        <w:pStyle w:val="FootnoteText"/>
        <w:rPr/>
      </w:pPr>
      <w:r>
        <w:rPr>
          <w:rStyle w:val="FootnoteCharacters"/>
        </w:rPr>
        <w:footnoteRef/>
      </w:r>
      <w:r>
        <w:rPr/>
        <w:t xml:space="preserve"> </w:t>
      </w:r>
      <w:r>
        <w:rPr/>
        <w:t>Haedicke, 17 Energy L.J. 117-118.</w:t>
      </w:r>
    </w:p>
  </w:footnote>
  <w:footnote w:id="15">
    <w:p>
      <w:pPr>
        <w:pStyle w:val="FootnoteText"/>
        <w:rPr/>
      </w:pPr>
      <w:r>
        <w:rPr>
          <w:rStyle w:val="FootnoteCharacters"/>
        </w:rPr>
        <w:footnoteRef/>
      </w:r>
      <w:r>
        <w:rPr/>
        <w:t>A significant portion of marketer sales are part of extended “daisy chains” in which power is traded by several market participants, many of whom do not plan to physically deliver the power.  These transactions represent multiple resales of the same generation that formerly flowed from utilities to native load customers or to other utilities for resale to their native load customers.  See Staff Report at 3-2.</w:t>
      </w:r>
    </w:p>
  </w:footnote>
  <w:footnote w:id="16">
    <w:p>
      <w:pPr>
        <w:pStyle w:val="FootnoteText"/>
        <w:rPr/>
      </w:pPr>
      <w:r>
        <w:rPr>
          <w:rStyle w:val="FootnoteCharacters"/>
        </w:rPr>
        <w:footnoteRef/>
      </w:r>
      <w:r>
        <w:rPr/>
        <w:t xml:space="preserve"> </w:t>
      </w:r>
      <w:r>
        <w:rPr>
          <w:i/>
        </w:rPr>
        <w:t>See</w:t>
      </w:r>
      <w:r>
        <w:rPr/>
        <w:t xml:space="preserve"> Cinergy's force majeure shows need for contract scrutiny, The Energy Report, (August 9, 1999).  </w:t>
      </w:r>
    </w:p>
  </w:footnote>
  <w:footnote w:id="17">
    <w:p>
      <w:pPr>
        <w:pStyle w:val="FootnoteText"/>
        <w:rPr/>
      </w:pPr>
      <w:r>
        <w:rPr>
          <w:rStyle w:val="FootnoteCharacters"/>
        </w:rPr>
        <w:footnoteRef/>
      </w:r>
      <w:r>
        <w:rPr/>
        <w:t xml:space="preserve"> </w:t>
      </w:r>
      <w:r>
        <w:rPr>
          <w:i/>
          <w:iCs/>
        </w:rPr>
        <w:t>See</w:t>
      </w:r>
      <w:r>
        <w:rPr/>
        <w:t xml:space="preserve"> Savage, note 1, </w:t>
      </w:r>
      <w:r>
        <w:rPr>
          <w:i/>
          <w:iCs/>
        </w:rPr>
        <w:t>supra</w:t>
      </w:r>
      <w:r>
        <w:rPr/>
        <w:t>.</w:t>
      </w:r>
    </w:p>
  </w:footnote>
  <w:footnote w:id="18">
    <w:p>
      <w:pPr>
        <w:pStyle w:val="FootnoteText"/>
        <w:rPr/>
      </w:pPr>
      <w:r>
        <w:rPr>
          <w:rStyle w:val="FootnoteCharacters"/>
        </w:rPr>
        <w:footnoteRef/>
      </w:r>
      <w:r>
        <w:rPr/>
        <w:t xml:space="preserve"> </w:t>
      </w:r>
      <w:r>
        <w:rPr>
          <w:i/>
        </w:rPr>
        <w:t>See</w:t>
      </w:r>
      <w:r>
        <w:rPr/>
        <w:t xml:space="preserve"> App. B.  Both groups are co-chaired by Patricia Dondanville, a partner in the law firm Schiff Hardin &amp; Waite, representing NiSource Inc. and David Perlman, Vice President and General Counsel of Constellation Power Source, Inc.  The author is the EEI coordinator for the project.</w:t>
      </w:r>
    </w:p>
  </w:footnote>
  <w:footnote w:id="19">
    <w:p>
      <w:pPr>
        <w:pStyle w:val="FootnoteText"/>
        <w:rPr/>
      </w:pPr>
      <w:r>
        <w:rPr>
          <w:rStyle w:val="FootnoteCharacters"/>
        </w:rPr>
        <w:footnoteRef/>
      </w:r>
      <w:r>
        <w:rPr/>
        <w:t xml:space="preserve"> </w:t>
      </w:r>
      <w:r>
        <w:rPr/>
        <w:t xml:space="preserve">Haedicke is an outspoken proponent of standard agreements for energy commodity transactions.  </w:t>
      </w:r>
      <w:r>
        <w:rPr>
          <w:i/>
        </w:rPr>
        <w:t>See</w:t>
      </w:r>
      <w:r>
        <w:rPr/>
        <w:t xml:space="preserve"> Note 10 </w:t>
      </w:r>
      <w:r>
        <w:rPr>
          <w:i/>
          <w:iCs/>
        </w:rPr>
        <w:t>supra</w:t>
      </w:r>
      <w:r>
        <w:rPr/>
        <w:t xml:space="preserve">, and Mark Haedicke, </w:t>
      </w:r>
      <w:r>
        <w:rPr>
          <w:i/>
        </w:rPr>
        <w:t xml:space="preserve"> Contracts for the New Natural Gas Business</w:t>
      </w:r>
      <w:r>
        <w:rPr/>
        <w:t>, 13 Energy L.J. 313 (1992).</w:t>
      </w:r>
    </w:p>
  </w:footnote>
  <w:footnote w:id="20">
    <w:p>
      <w:pPr>
        <w:pStyle w:val="FootnoteText"/>
        <w:rPr/>
      </w:pPr>
      <w:r>
        <w:rPr>
          <w:rStyle w:val="FootnoteCharacters"/>
        </w:rPr>
        <w:footnoteRef/>
      </w:r>
      <w:r>
        <w:rPr/>
        <w:t xml:space="preserve"> </w:t>
      </w:r>
      <w:r>
        <w:rPr/>
        <w:t>NEM’s project chair was Christopher Bernard, General Counsel of Entergy Marketing, Inc., another enthusiastic advocate for contract standardization.</w:t>
      </w:r>
    </w:p>
  </w:footnote>
  <w:footnote w:id="21">
    <w:p>
      <w:pPr>
        <w:pStyle w:val="FootnoteText"/>
        <w:rPr/>
      </w:pPr>
      <w:r>
        <w:rPr>
          <w:rStyle w:val="FootnoteCharacters"/>
        </w:rPr>
        <w:footnoteRef/>
      </w:r>
      <w:r>
        <w:rPr/>
        <w:t xml:space="preserve"> </w:t>
      </w:r>
      <w:r>
        <w:rPr/>
        <w:t>Dynegy, Inc. and Reliant Energy each hosted a meeting at their Houston, Texas offices in December 1999 and January 2000, respectively.</w:t>
      </w:r>
    </w:p>
  </w:footnote>
  <w:footnote w:id="22">
    <w:p>
      <w:pPr>
        <w:pStyle w:val="FootnoteText"/>
        <w:rPr/>
      </w:pPr>
      <w:r>
        <w:rPr>
          <w:rStyle w:val="FootnoteCharacters"/>
        </w:rPr>
        <w:footnoteRef/>
      </w:r>
      <w:r>
        <w:rPr/>
        <w:t xml:space="preserve">Risk managers try to hedge one transaction against another.  It was an eye opening experience when the Working Group realized  that some of their risk managers were hedging “system firm” contracts against “system firm” contracts, except that the contracts were for power delivered from different systems.  Traders also have hedged “firm” transactions against “system firm.” The various standard products defined in the Master Agreement, including “system firm,” are discussed  in  IV.C.4., </w:t>
      </w:r>
      <w:r>
        <w:rPr>
          <w:i/>
        </w:rPr>
        <w:t>infra</w:t>
      </w:r>
      <w:r>
        <w:rPr/>
        <w:t>.</w:t>
      </w:r>
    </w:p>
  </w:footnote>
  <w:footnote w:id="23">
    <w:p>
      <w:pPr>
        <w:pStyle w:val="FootnoteText"/>
        <w:rPr/>
      </w:pPr>
      <w:r>
        <w:rPr>
          <w:rStyle w:val="FootnoteCharacters"/>
        </w:rPr>
        <w:footnoteRef/>
      </w:r>
      <w:r>
        <w:rPr/>
        <w:t xml:space="preserve"> </w:t>
      </w:r>
      <w:r>
        <w:rPr/>
        <w:t>EEI, its Alliance of Energy Suppliers, and NEM sponsored a series of workshops in Washington, D.C., Houston and New York City.  These workshops were conducted by members of the drafting group. The working group also worked with the Federal Energy Regulatory Commission (FERC) Staff to rationalize the Master Agreement complied with that agency’s market-based tariff requirements.  The drafting group also coordinated with governmental  and cooperative power representatives, and the American Public Power Association.</w:t>
      </w:r>
    </w:p>
  </w:footnote>
  <w:footnote w:id="24">
    <w:p>
      <w:pPr>
        <w:pStyle w:val="FootnoteText"/>
        <w:rPr/>
      </w:pPr>
      <w:r>
        <w:rPr>
          <w:rStyle w:val="FootnoteCharacters"/>
        </w:rPr>
        <w:footnoteRef/>
      </w:r>
      <w:r>
        <w:rPr/>
        <w:t xml:space="preserve">A Word version of the Master Agreement and instructions on how to subscribe to the listserver are available at </w:t>
      </w:r>
      <w:hyperlink r:id="rId1">
        <w:r>
          <w:rPr>
            <w:rStyle w:val="Hyperlink"/>
          </w:rPr>
          <w:t>www.eei.org/issues/contract</w:t>
        </w:r>
      </w:hyperlink>
    </w:p>
  </w:footnote>
  <w:footnote w:id="25">
    <w:p>
      <w:pPr>
        <w:pStyle w:val="FootnoteText"/>
        <w:rPr/>
      </w:pPr>
      <w:r>
        <w:rPr>
          <w:rStyle w:val="FootnoteCharacters"/>
        </w:rPr>
        <w:footnoteRef/>
      </w:r>
      <w:r>
        <w:rPr/>
        <w:t xml:space="preserve"> </w:t>
      </w:r>
      <w:r>
        <w:rPr>
          <w:i/>
        </w:rPr>
        <w:t>See</w:t>
      </w:r>
      <w:r>
        <w:rPr/>
        <w:t xml:space="preserve"> IV.C.4. </w:t>
      </w:r>
      <w:r>
        <w:rPr>
          <w:i/>
        </w:rPr>
        <w:t>infra</w:t>
      </w:r>
      <w:r>
        <w:rPr/>
        <w:t>.</w:t>
      </w:r>
    </w:p>
  </w:footnote>
  <w:footnote w:id="26">
    <w:p>
      <w:pPr>
        <w:pStyle w:val="FootnoteText"/>
        <w:rPr/>
      </w:pPr>
      <w:r>
        <w:rPr>
          <w:rStyle w:val="FootnoteCharacters"/>
        </w:rPr>
        <w:footnoteRef/>
      </w:r>
      <w:r>
        <w:rPr/>
        <w:t xml:space="preserve"> </w:t>
      </w:r>
      <w:r>
        <w:rPr/>
        <w:t xml:space="preserve">In addition to the Schedule P product definitions, Article One contains definitions essential for executing and performing transactions under the Master Agreement. </w:t>
      </w:r>
    </w:p>
  </w:footnote>
  <w:footnote w:id="27">
    <w:p>
      <w:pPr>
        <w:pStyle w:val="FootnoteText"/>
        <w:rPr/>
      </w:pPr>
      <w:r>
        <w:rPr>
          <w:rStyle w:val="FootnoteCharacters"/>
        </w:rPr>
        <w:footnoteRef/>
      </w:r>
      <w:r>
        <w:rPr/>
        <w:t xml:space="preserve"> </w:t>
      </w:r>
      <w:r>
        <w:rPr/>
        <w:t xml:space="preserve">As discussed V.B. </w:t>
      </w:r>
      <w:r>
        <w:rPr>
          <w:i/>
        </w:rPr>
        <w:t xml:space="preserve">infra, </w:t>
      </w:r>
      <w:r>
        <w:rPr/>
        <w:t>the Master Agreement must be used in conjunction with a FERC market-based tariff.</w:t>
      </w:r>
    </w:p>
  </w:footnote>
  <w:footnote w:id="28">
    <w:p>
      <w:pPr>
        <w:pStyle w:val="FootnoteText"/>
        <w:rPr/>
      </w:pPr>
      <w:r>
        <w:rPr>
          <w:rStyle w:val="FootnoteCharacters"/>
        </w:rPr>
        <w:footnoteRef/>
      </w:r>
      <w:r>
        <w:rPr/>
        <w:t xml:space="preserve"> </w:t>
      </w:r>
      <w:r>
        <w:rPr>
          <w:i/>
        </w:rPr>
        <w:t>See</w:t>
      </w:r>
      <w:r>
        <w:rPr/>
        <w:t xml:space="preserve"> Sec. V.C.4. </w:t>
      </w:r>
      <w:r>
        <w:rPr>
          <w:i/>
        </w:rPr>
        <w:t>infra</w:t>
      </w:r>
      <w:r>
        <w:rPr/>
        <w:t xml:space="preserve">.  </w:t>
      </w:r>
    </w:p>
  </w:footnote>
  <w:footnote w:id="29">
    <w:p>
      <w:pPr>
        <w:pStyle w:val="FootnoteText"/>
        <w:rPr/>
      </w:pPr>
      <w:r>
        <w:rPr>
          <w:rStyle w:val="FootnoteCharacters"/>
        </w:rPr>
        <w:footnoteRef/>
      </w:r>
      <w:r>
        <w:rPr/>
        <w:t xml:space="preserve"> </w:t>
      </w:r>
      <w:r>
        <w:rPr>
          <w:i/>
        </w:rPr>
        <w:t>See</w:t>
      </w:r>
      <w:r>
        <w:rPr/>
        <w:t xml:space="preserve"> Haedicke, 17 Energy L.J. at 120.  </w:t>
      </w:r>
      <w:r>
        <w:rPr>
          <w:i/>
        </w:rPr>
        <w:t xml:space="preserve">See also </w:t>
      </w:r>
      <w:r>
        <w:rPr/>
        <w:t xml:space="preserve">Richard Stavros, </w:t>
      </w:r>
      <w:r>
        <w:rPr>
          <w:i/>
        </w:rPr>
        <w:t>EEI’s Master Contract:  If you Draw It Up Will They Trade?</w:t>
      </w:r>
      <w:r>
        <w:rPr/>
        <w:t>, Pub. Util. Fort., (January 1, 2000).</w:t>
      </w:r>
    </w:p>
  </w:footnote>
  <w:footnote w:id="30">
    <w:p>
      <w:pPr>
        <w:pStyle w:val="FootnoteText"/>
        <w:rPr/>
      </w:pPr>
      <w:r>
        <w:rPr>
          <w:rStyle w:val="FootnoteCharacters"/>
        </w:rPr>
        <w:footnoteRef/>
      </w:r>
      <w:r>
        <w:rPr/>
        <w:t xml:space="preserve"> </w:t>
      </w:r>
      <w:r>
        <w:rPr>
          <w:i/>
        </w:rPr>
        <w:t>See</w:t>
      </w:r>
      <w:r>
        <w:rPr/>
        <w:t xml:space="preserve"> Sec. 2.2.  Integration of all this documentation provides a contractual nexus to enable the Master Agreement’s payment and transaction netting provisions, as well as termination and liquidation procedures to unwind the trading relationship with a counterparty.  These procedures are discussed in IV.E </w:t>
      </w:r>
      <w:r>
        <w:rPr>
          <w:i/>
        </w:rPr>
        <w:t>infra</w:t>
      </w:r>
      <w:r>
        <w:rPr/>
        <w:t xml:space="preserve">. </w:t>
      </w:r>
    </w:p>
  </w:footnote>
  <w:footnote w:id="31">
    <w:p>
      <w:pPr>
        <w:pStyle w:val="FootnoteText"/>
        <w:rPr/>
      </w:pPr>
      <w:r>
        <w:rPr>
          <w:rStyle w:val="FootnoteCharacters"/>
        </w:rPr>
        <w:footnoteRef/>
      </w:r>
      <w:r>
        <w:rPr/>
        <w:t xml:space="preserve"> </w:t>
      </w:r>
      <w:r>
        <w:rPr/>
        <w:t xml:space="preserve">The Cover Sheet uses the format of the International Swaps and Derivatives Association’s (ISDA) 1992 Master Agreement.  ISDA is a global trade association representing leading participants in the derivatives market.  Its master agreement has set established international contractual standards governing privately negotiated derivatives transactions .  For “over the counter” (OTC) derivatives, ISDA’s master agreement is the most frequently used standardized contract.  The 1992 ISDA Master Agreement is available at </w:t>
      </w:r>
      <w:hyperlink r:id="rId2">
        <w:r>
          <w:rPr>
            <w:rStyle w:val="Hyperlink"/>
          </w:rPr>
          <w:t>www.isda.org</w:t>
        </w:r>
      </w:hyperlink>
      <w:r>
        <w:rPr/>
        <w:t xml:space="preserve">.  The gas industry embraced the ISDA standard contract format through the Gas Industry Standard Board (GISB) Base Contract for Short Term Sales/Purchases of Natural Gas which is available at </w:t>
      </w:r>
      <w:hyperlink r:id="rId3">
        <w:r>
          <w:rPr>
            <w:rStyle w:val="Hyperlink"/>
          </w:rPr>
          <w:t>www.gisb.org</w:t>
        </w:r>
      </w:hyperlink>
      <w:r>
        <w:rPr/>
        <w:t xml:space="preserve">. </w:t>
      </w:r>
    </w:p>
  </w:footnote>
  <w:footnote w:id="32">
    <w:p>
      <w:pPr>
        <w:pStyle w:val="FootnoteText"/>
        <w:rPr/>
      </w:pPr>
      <w:r>
        <w:rPr>
          <w:rStyle w:val="FootnoteCharacters"/>
        </w:rPr>
        <w:footnoteRef/>
      </w:r>
      <w:r>
        <w:rPr/>
        <w:t xml:space="preserve"> </w:t>
      </w:r>
      <w:r>
        <w:rPr/>
        <w:t>These items may be checked off or specified on the Cover Sheet (1) optional  confirmation procedures (Section 2.4); (2) option to accelerate payment of cover damages (Article 4); (3) Specification of Events of Defaults, Cross Default Amounts, Parental Guarantors, Setoff of Liquidation Amounts (Article Five); (5) Specification of remedies for events of default (Article Eight); (6) Option to make transactions confidential; (7) Identification of counterparty as a Governmental Entity subject to Schedule M of the Master Agreement; and (8) Identification of supplemental agreements that add to or modify the terms of the Master Agreement.</w:t>
      </w:r>
    </w:p>
  </w:footnote>
  <w:footnote w:id="33">
    <w:p>
      <w:pPr>
        <w:pStyle w:val="FootnoteText"/>
        <w:rPr/>
      </w:pPr>
      <w:r>
        <w:rPr>
          <w:rStyle w:val="FootnoteCharacters"/>
        </w:rPr>
        <w:footnoteRef/>
      </w:r>
      <w:r>
        <w:rPr/>
        <w:t xml:space="preserve">Written agreements usually are preferred for longer-term, complex structured transactions that take more time to consummate. </w:t>
      </w:r>
    </w:p>
  </w:footnote>
  <w:footnote w:id="34">
    <w:p>
      <w:pPr>
        <w:pStyle w:val="FootnoteText"/>
        <w:rPr/>
      </w:pPr>
      <w:r>
        <w:rPr>
          <w:rStyle w:val="FootnoteCharacters"/>
        </w:rPr>
        <w:footnoteRef/>
      </w:r>
      <w:r>
        <w:rPr/>
        <w:t xml:space="preserve"> </w:t>
      </w:r>
      <w:r>
        <w:rPr>
          <w:i/>
          <w:iCs/>
        </w:rPr>
        <w:t xml:space="preserve">See </w:t>
      </w:r>
      <w:r>
        <w:rPr/>
        <w:t>Section 2.1</w:t>
      </w:r>
    </w:p>
  </w:footnote>
  <w:footnote w:id="35">
    <w:p>
      <w:pPr>
        <w:pStyle w:val="FootnoteText"/>
        <w:rPr/>
      </w:pPr>
      <w:r>
        <w:rPr>
          <w:rStyle w:val="FootnoteCharacters"/>
        </w:rPr>
        <w:footnoteRef/>
      </w:r>
      <w:r>
        <w:rPr/>
        <w:t xml:space="preserve"> </w:t>
      </w:r>
      <w:r>
        <w:rPr/>
        <w:t xml:space="preserve">As discussed in V.F.4., </w:t>
      </w:r>
      <w:r>
        <w:rPr>
          <w:i/>
        </w:rPr>
        <w:t>infra</w:t>
      </w:r>
      <w:r>
        <w:rPr/>
        <w:t xml:space="preserve">, the Working Group selected New York law for Choice of Law in the Master Agreement.   New York amended its Statute of Frauds in 1996 to permit binding oral agreements for  “ . . . a qualified financial contract . . . if either (a) there is, . . . sufficient evidence to indicate that a contract has been made or (b) the parties thereto, by means of a prior or subsequent written contract, have agreed to be bound by the terms of such qualified financial contract from the time they reach agreement (by telephone, by exchange or electronic messages, or otherwise) on those terms.”  NY CLS UCC  § 1-206 (2000).  This provision offers an exception to instruments conducted basically on the trading desks of large institutions where a traders’ tape serves as evidence of the contract or if not available a written confirmation.  See Jeffery Kagan, </w:t>
      </w:r>
      <w:r>
        <w:rPr>
          <w:i/>
        </w:rPr>
        <w:t>The Indelibility of Invisible Ink:  A Critical Survey of the Enforcement of Oral Contracts Without the Statute of Frauds under the U.C.C.</w:t>
      </w:r>
      <w:r>
        <w:rPr/>
        <w:t>, 19 Whittier L. Rev. 423, 454 (1997)  (Citations Omitted).</w:t>
      </w:r>
    </w:p>
  </w:footnote>
  <w:footnote w:id="36">
    <w:p>
      <w:pPr>
        <w:pStyle w:val="FootnoteText"/>
        <w:rPr/>
      </w:pPr>
      <w:r>
        <w:rPr>
          <w:rStyle w:val="FootnoteCharacters"/>
        </w:rPr>
        <w:footnoteRef/>
      </w:r>
      <w:r>
        <w:rPr/>
        <w:t xml:space="preserve"> </w:t>
      </w:r>
      <w:r>
        <w:rPr>
          <w:i/>
          <w:iCs/>
        </w:rPr>
        <w:t xml:space="preserve">See </w:t>
      </w:r>
      <w:r>
        <w:rPr/>
        <w:t>Section 2.5.</w:t>
      </w:r>
    </w:p>
  </w:footnote>
  <w:footnote w:id="37">
    <w:p>
      <w:pPr>
        <w:pStyle w:val="FootnoteText"/>
        <w:rPr/>
      </w:pPr>
      <w:r>
        <w:rPr>
          <w:rStyle w:val="FootnoteCharacters"/>
        </w:rPr>
        <w:footnoteRef/>
      </w:r>
      <w:r>
        <w:rPr/>
        <w:t xml:space="preserve"> </w:t>
      </w:r>
      <w:r>
        <w:rPr/>
        <w:t xml:space="preserve">A recorded trade call will become the controlling evidence of the parties’ agreement to a particular transaction if the confirmation process described in Section 2.3 results in an unexecuted or unaccepted written confirmation.  </w:t>
      </w:r>
      <w:r>
        <w:rPr>
          <w:i/>
        </w:rPr>
        <w:t xml:space="preserve">See </w:t>
      </w:r>
      <w:r>
        <w:rPr/>
        <w:t xml:space="preserve">IV.C.2. </w:t>
      </w:r>
      <w:r>
        <w:rPr>
          <w:i/>
        </w:rPr>
        <w:t xml:space="preserve">infra. </w:t>
      </w:r>
      <w:r>
        <w:rPr/>
        <w:t xml:space="preserve"> On the other hand, if a written confirmation is deemed accepted, its terms will control over either the terms of a recording or the Master Agreement in the event of a conflict.</w:t>
      </w:r>
    </w:p>
  </w:footnote>
  <w:footnote w:id="38">
    <w:p>
      <w:pPr>
        <w:pStyle w:val="FootnoteText"/>
        <w:rPr/>
      </w:pPr>
      <w:r>
        <w:rPr>
          <w:rStyle w:val="FootnoteCharacters"/>
        </w:rPr>
        <w:footnoteRef/>
      </w:r>
      <w:r>
        <w:rPr/>
        <w:t xml:space="preserve"> </w:t>
      </w:r>
      <w:r>
        <w:rPr/>
        <w:t xml:space="preserve">It is beyond the scope of this article to review federal and state privacy and wiretap law in detail.  For a detailed review, see Carol Bast, </w:t>
      </w:r>
      <w:r>
        <w:rPr>
          <w:i/>
        </w:rPr>
        <w:t>What’s Bugging You?  Inconsistencies and Irrationalities of the Law of Eavesdropping</w:t>
      </w:r>
      <w:r>
        <w:rPr/>
        <w:t>, 47 DePaul L. Rev. 837 (1998).  It is worth noting that the federal Electronic Communications Privacy Act of 1986 (ECPA) generally prohibits interception, without a party’s consent of electronic communications “that affect interstate or foreign commerce.”  See 18 U.S.C. §§ 2510-22, 2701-11.  ECPA does provide for two exceptions that allow an employer to legally intercept an employee’s telecommunication:  the “business” exception and the “consent” exception.  Under the “business” exception, an employer may intercept communication if done in the ordinary course of business using a qualifying device.  18 U.S.C. § 2510(5)(a).</w:t>
      </w:r>
    </w:p>
  </w:footnote>
  <w:footnote w:id="39">
    <w:p>
      <w:pPr>
        <w:pStyle w:val="FootnoteText"/>
        <w:rPr/>
      </w:pPr>
      <w:r>
        <w:rPr>
          <w:rStyle w:val="FootnoteCharacters"/>
        </w:rPr>
        <w:footnoteRef/>
      </w:r>
      <w:r>
        <w:rPr/>
        <w:t xml:space="preserve"> </w:t>
      </w:r>
      <w:r>
        <w:rPr/>
        <w:t xml:space="preserve">It is common practice in energy trading not to send written confirmations for short-duration hourly or next day transactions. </w:t>
      </w:r>
    </w:p>
  </w:footnote>
  <w:footnote w:id="40">
    <w:p>
      <w:pPr>
        <w:pStyle w:val="FootnoteText"/>
        <w:rPr/>
      </w:pPr>
      <w:r>
        <w:rPr>
          <w:rStyle w:val="FootnoteCharacters"/>
        </w:rPr>
        <w:footnoteRef/>
      </w:r>
      <w:r>
        <w:rPr/>
        <w:t xml:space="preserve"> </w:t>
      </w:r>
      <w:r>
        <w:rPr>
          <w:i/>
        </w:rPr>
        <w:t>See</w:t>
      </w:r>
      <w:r>
        <w:rPr/>
        <w:t xml:space="preserve"> Section 2.1.</w:t>
      </w:r>
    </w:p>
  </w:footnote>
  <w:footnote w:id="41">
    <w:p>
      <w:pPr>
        <w:pStyle w:val="Normal"/>
        <w:rPr/>
      </w:pPr>
      <w:r>
        <w:rPr>
          <w:rStyle w:val="FootnoteCharacters"/>
        </w:rPr>
        <w:footnoteRef/>
      </w:r>
      <w:r>
        <w:rPr>
          <w:sz w:val="20"/>
        </w:rPr>
        <w:t xml:space="preserve"> </w:t>
      </w:r>
      <w:r>
        <w:rPr>
          <w:sz w:val="20"/>
        </w:rPr>
        <w:t>The  confirmation letter must be substantially in the form of the Model Confirmation Letter included as Exhibit A to the Master Agreement.  It establishes:  (1) which party is the buyer and which is the seller; (2) pricing terms; (3) quantity; (4) transaction duration; (5) delivery points;  and (6) the nature of the product .</w:t>
      </w:r>
    </w:p>
  </w:footnote>
  <w:footnote w:id="42">
    <w:p>
      <w:pPr>
        <w:pStyle w:val="FootnoteText"/>
        <w:rPr/>
      </w:pPr>
      <w:r>
        <w:rPr>
          <w:rStyle w:val="FootnoteCharacters"/>
        </w:rPr>
        <w:footnoteRef/>
      </w:r>
      <w:r>
        <w:rPr/>
        <w:t>Many counsel in the Working Group have said that the trade tapes may be hard to review.  Some trade desks require their traders follow a script to ensure the correct information is captured in trade calls.</w:t>
      </w:r>
    </w:p>
  </w:footnote>
  <w:footnote w:id="43">
    <w:p>
      <w:pPr>
        <w:pStyle w:val="FootnoteText"/>
        <w:rPr/>
      </w:pPr>
      <w:r>
        <w:rPr>
          <w:rStyle w:val="FootnoteCharacters"/>
        </w:rPr>
        <w:footnoteRef/>
      </w:r>
      <w:r>
        <w:rPr/>
        <w:t xml:space="preserve"> </w:t>
      </w:r>
      <w:r>
        <w:rPr>
          <w:i/>
        </w:rPr>
        <w:t>See</w:t>
      </w:r>
      <w:r>
        <w:rPr/>
        <w:t xml:space="preserve"> Section 2.4.</w:t>
      </w:r>
    </w:p>
  </w:footnote>
  <w:footnote w:id="44">
    <w:p>
      <w:pPr>
        <w:pStyle w:val="FootnoteText"/>
        <w:rPr/>
      </w:pPr>
      <w:r>
        <w:rPr>
          <w:rStyle w:val="FootnoteCharacters"/>
        </w:rPr>
        <w:footnoteRef/>
      </w:r>
      <w:r>
        <w:rPr/>
        <w:t xml:space="preserve"> </w:t>
      </w:r>
      <w:r>
        <w:rPr/>
        <w:t>Adopting Section 2.4 was controversial and the final terms adopted reflected a compromise.  Those companies that placed a premium on transaction finality insisted that the provision be optional.  Companies endorsing the provision insisted that unobjected to additional terms added to a confirmation could not become binding.</w:t>
      </w:r>
    </w:p>
  </w:footnote>
  <w:footnote w:id="45">
    <w:p>
      <w:pPr>
        <w:pStyle w:val="FootnoteText"/>
        <w:rPr/>
      </w:pPr>
      <w:r>
        <w:rPr>
          <w:rStyle w:val="FootnoteCharacters"/>
        </w:rPr>
        <w:footnoteRef/>
      </w:r>
      <w:r>
        <w:rPr/>
        <w:t xml:space="preserve"> </w:t>
      </w:r>
      <w:r>
        <w:rPr>
          <w:i/>
        </w:rPr>
        <w:t>See</w:t>
      </w:r>
      <w:r>
        <w:rPr/>
        <w:t xml:space="preserve"> Section 3.1.</w:t>
      </w:r>
    </w:p>
  </w:footnote>
  <w:footnote w:id="46">
    <w:p>
      <w:pPr>
        <w:pStyle w:val="FootnoteText"/>
        <w:rPr/>
      </w:pPr>
      <w:r>
        <w:rPr>
          <w:rStyle w:val="FootnoteCharacters"/>
        </w:rPr>
        <w:footnoteRef/>
      </w:r>
      <w:r>
        <w:rPr/>
        <w:t xml:space="preserve"> </w:t>
      </w:r>
      <w:r>
        <w:rPr>
          <w:i/>
        </w:rPr>
        <w:t>See</w:t>
      </w:r>
      <w:r>
        <w:rPr/>
        <w:t xml:space="preserve"> Section 3.2.</w:t>
      </w:r>
    </w:p>
  </w:footnote>
  <w:footnote w:id="47">
    <w:p>
      <w:pPr>
        <w:pStyle w:val="FootnoteText"/>
        <w:rPr/>
      </w:pPr>
      <w:r>
        <w:rPr>
          <w:rStyle w:val="FootnoteCharacters"/>
        </w:rPr>
        <w:footnoteRef/>
      </w:r>
      <w:r>
        <w:rPr/>
        <w:t xml:space="preserve"> </w:t>
      </w:r>
      <w:r>
        <w:rPr/>
        <w:t>The Master Agreement provides that a party claiming a legitimate force majeure will be excused from performance of a transaction unless the terms of the product otherwise.  See Section 3.3. Section 3.3 describes the procedures for suspending each party’s obligations under a transaction in the event one party is prevented by Force Majeure from performing.</w:t>
      </w:r>
    </w:p>
  </w:footnote>
  <w:footnote w:id="48">
    <w:p>
      <w:pPr>
        <w:pStyle w:val="FootnoteText"/>
        <w:rPr/>
      </w:pPr>
      <w:r>
        <w:rPr>
          <w:rStyle w:val="FootnoteCharacters"/>
        </w:rPr>
        <w:footnoteRef/>
      </w:r>
      <w:r>
        <w:rPr/>
        <w:t xml:space="preserve"> </w:t>
      </w:r>
      <w:r>
        <w:rPr>
          <w:i/>
        </w:rPr>
        <w:t>See</w:t>
      </w:r>
      <w:r>
        <w:rPr/>
        <w:t xml:space="preserve"> Haedicke, 17 Energy L.J. at 120 (1996). </w:t>
      </w:r>
    </w:p>
  </w:footnote>
  <w:footnote w:id="49">
    <w:p>
      <w:pPr>
        <w:pStyle w:val="FootnoteText"/>
        <w:rPr/>
      </w:pPr>
      <w:r>
        <w:rPr>
          <w:rStyle w:val="FootnoteCharacters"/>
        </w:rPr>
        <w:footnoteRef/>
      </w:r>
      <w:r>
        <w:rPr/>
        <w:t xml:space="preserve"> </w:t>
      </w:r>
      <w:r>
        <w:rPr/>
        <w:t>This belief is bolstered by the fact that, in the history of electricity trading, no one in the Working Group could identify a single circumstance where anyone successfully claimed a Force Majeure in either an OTC or a New York Mercantile Exchange contract.</w:t>
      </w:r>
    </w:p>
  </w:footnote>
  <w:footnote w:id="50">
    <w:p>
      <w:pPr>
        <w:pStyle w:val="FootnoteText"/>
        <w:rPr/>
      </w:pPr>
      <w:r>
        <w:rPr>
          <w:rStyle w:val="FootnoteCharacters"/>
        </w:rPr>
        <w:footnoteRef/>
      </w:r>
      <w:r>
        <w:rPr/>
        <w:t xml:space="preserve"> </w:t>
      </w:r>
      <w:r>
        <w:rPr/>
        <w:t xml:space="preserve">Traditional doctrine in common and civil law support the doctrine of </w:t>
      </w:r>
      <w:r>
        <w:rPr>
          <w:i/>
        </w:rPr>
        <w:t>pacta sunt servanda</w:t>
      </w:r>
      <w:r>
        <w:rPr/>
        <w:t xml:space="preserve"> – agreements must be kept though the heavens may fall, with impossibility (aka force majeure) or frustration of venture the only recognized exceptions.  Under the traditional doctrine, hardship short of impossibility, is no excuse for nonperformance of a contract.  Ironically, modern contract doctrine provides relief on the grounds of hardship. Some U.S. courts also  flirt with a vaguely defined doctrine of impracticability.  See Joseph M. Perillo, </w:t>
      </w:r>
      <w:r>
        <w:rPr>
          <w:i/>
        </w:rPr>
        <w:t>Force Majeure and Hardship under the UNIDROIT Principles of International Commercial Contracts</w:t>
      </w:r>
      <w:r>
        <w:rPr/>
        <w:t xml:space="preserve">, 5 Tul. J. Int’l &amp; Comp. L. 5, 7 (1997). </w:t>
      </w:r>
    </w:p>
  </w:footnote>
  <w:footnote w:id="51">
    <w:p>
      <w:pPr>
        <w:pStyle w:val="FootnoteText"/>
        <w:rPr/>
      </w:pPr>
      <w:r>
        <w:rPr>
          <w:rStyle w:val="FootnoteCharacters"/>
        </w:rPr>
        <w:footnoteRef/>
      </w:r>
      <w:r>
        <w:rPr/>
        <w:t xml:space="preserve">Although different market participants  have different capabilities, the Force Majeure definition holds   everyone to the same standard of capability in determining whether an excuse should be allowed.  A common definition is needed, not a seller idiosyncratic one, for a standard contract.  If the seller feels its resources and capabilities are limited, it should sell a product that reflects its capabilities. </w:t>
      </w:r>
    </w:p>
  </w:footnote>
  <w:footnote w:id="52">
    <w:p>
      <w:pPr>
        <w:pStyle w:val="FootnoteText"/>
        <w:rPr/>
      </w:pPr>
      <w:r>
        <w:rPr>
          <w:rStyle w:val="FootnoteCharacters"/>
        </w:rPr>
        <w:footnoteRef/>
      </w:r>
      <w:r>
        <w:rPr/>
        <w:t xml:space="preserve"> </w:t>
      </w:r>
      <w:r>
        <w:rPr>
          <w:i/>
        </w:rPr>
        <w:t>See</w:t>
      </w:r>
      <w:r>
        <w:rPr/>
        <w:t xml:space="preserve"> Section 1.23.</w:t>
      </w:r>
    </w:p>
  </w:footnote>
  <w:footnote w:id="53">
    <w:p>
      <w:pPr>
        <w:pStyle w:val="FootnoteText"/>
        <w:rPr/>
      </w:pPr>
      <w:r>
        <w:rPr>
          <w:rStyle w:val="FootnoteCharacters"/>
        </w:rPr>
        <w:footnoteRef/>
      </w:r>
      <w:r>
        <w:rPr/>
        <w:t xml:space="preserve">A point raised by some sellers is  how the Master Agreement’s Force Majeure definition shifts significant risk to them.  They argue that electricity markets are fragmented, especially when  you are delivering on peak days and generators are likely to be serving native load and there may be no available transmission capacity.   The drafters expect that there will always be a market at liquid trading hubs such as Cinergy or Palo Verde.  See note 55,  </w:t>
      </w:r>
      <w:r>
        <w:rPr>
          <w:i/>
        </w:rPr>
        <w:t>infra</w:t>
      </w:r>
      <w:r>
        <w:rPr/>
        <w:t xml:space="preserve">  Site specific issues at less liquid markets  can be addressed  through selection of  products with more performance outs.  Of course there may be a pricing/basis difference between a product traded at Cinergy which is liquid and at another point like the Michigan Electric Coordinated System where the market is not as liquid.  Further, parties can elect to make any transaction transmission contingent, or customize the definition of Force Majeure in individual transactions negotiated between the parties.  Of course such adjustments are likely to affect the price obtained in the marketplace. </w:t>
      </w:r>
    </w:p>
  </w:footnote>
  <w:footnote w:id="54">
    <w:p>
      <w:pPr>
        <w:pStyle w:val="FootnoteText"/>
        <w:rPr/>
      </w:pPr>
      <w:r>
        <w:rPr>
          <w:rStyle w:val="FootnoteCharacters"/>
        </w:rPr>
        <w:footnoteRef/>
      </w:r>
      <w:r>
        <w:rPr/>
        <w:t xml:space="preserve"> </w:t>
      </w:r>
      <w:r>
        <w:rPr/>
        <w:t xml:space="preserve">The products traded under Schedule P can be customized in the confirmation for individual transactions. For example if traders in a region of the country may have particular pool rules or products that need to be accommodated  (e.g., NEPOOL Unit Entitlement service).  </w:t>
      </w:r>
      <w:r>
        <w:rPr>
          <w:sz w:val="24"/>
        </w:rPr>
        <w:t xml:space="preserve"> </w:t>
      </w:r>
      <w:r>
        <w:rPr/>
        <w:t>Moreover</w:t>
      </w:r>
      <w:r>
        <w:rPr>
          <w:sz w:val="24"/>
        </w:rPr>
        <w:t xml:space="preserve">, </w:t>
      </w:r>
      <w:r>
        <w:rPr/>
        <w:t xml:space="preserve"> the standardized products alone are not adequate to constitute electric capacity for reliability purposes;  More terms need to be added to the confirmation if  two counterparties are entering into a capacity transaction.  The Buyer should make sure that the Seller is obligated  to provide what is needed for the reliability requirements (e.g. installed capacity or network resource) in a particular area.  Such a capacity product would not  be tradable as a fungible commodity, but the advantage of structuring a capacity arrangement under the Master Agreement is the sophisticated credit and payment relationships it establishes.</w:t>
      </w:r>
      <w:r>
        <w:rPr>
          <w:sz w:val="24"/>
        </w:rPr>
        <w:t xml:space="preserve"> </w:t>
      </w:r>
    </w:p>
  </w:footnote>
  <w:footnote w:id="55">
    <w:p>
      <w:pPr>
        <w:pStyle w:val="FootnoteText"/>
        <w:rPr/>
      </w:pPr>
      <w:r>
        <w:rPr>
          <w:rStyle w:val="FootnoteCharacters"/>
        </w:rPr>
        <w:footnoteRef/>
      </w:r>
      <w:r>
        <w:rPr/>
        <w:t xml:space="preserve">The Forced Outage must meet the criteria in the </w:t>
      </w:r>
      <w:r>
        <w:rPr>
          <w:i/>
        </w:rPr>
        <w:t>Definitions for Use in Reporting Electric Generating Unit Reliability, Availability, and Productivity</w:t>
      </w:r>
      <w:r>
        <w:rPr/>
        <w:t xml:space="preserve">, used by the North American Electric Reliability Council’s (NERC) Generating Unit Availability Data System (GADS). </w:t>
      </w:r>
    </w:p>
  </w:footnote>
  <w:footnote w:id="56">
    <w:p>
      <w:pPr>
        <w:pStyle w:val="FootnoteText"/>
        <w:rPr/>
      </w:pPr>
      <w:r>
        <w:rPr>
          <w:rStyle w:val="FootnoteCharacters"/>
        </w:rPr>
        <w:footnoteRef/>
      </w:r>
      <w:r>
        <w:rPr/>
        <w:t xml:space="preserve">The “LD” acronym reflects  terminology in use by traders, which would lead one to believe that the remedy for an unexcused failure to perform is payment of Liquidated Damages, a prearranged damage amount because of the inability to calculate specific damages.   In the Master Agreement , the damages computed under Article Four for failure to deliver or receive a product are more akin to the Uniform Commercial Code (U.C.C.) cover damages remedy.    See IV.D., </w:t>
      </w:r>
      <w:r>
        <w:rPr>
          <w:i/>
        </w:rPr>
        <w:t>infra</w:t>
      </w:r>
      <w:r>
        <w:rPr/>
        <w:t xml:space="preserve">. </w:t>
      </w:r>
    </w:p>
  </w:footnote>
  <w:footnote w:id="57">
    <w:p>
      <w:pPr>
        <w:pStyle w:val="FootnoteText"/>
        <w:rPr/>
      </w:pPr>
      <w:r>
        <w:rPr>
          <w:rStyle w:val="FootnoteCharacters"/>
        </w:rPr>
        <w:footnoteRef/>
      </w:r>
      <w:r>
        <w:rPr/>
        <w:t xml:space="preserve"> </w:t>
      </w:r>
      <w:r>
        <w:rPr/>
        <w:t xml:space="preserve">A “hub” is an aggregation of representative buses grouped by region which help create price signals for the region.  Hubs create a common point for commercial energy trading to settle with or without going to physical delivery.  They also reduce the risk  of delivering to one particular bus whose price is more volatile during a constraint than a collection of bus prices at a weighted average.  In the Eastern Interconnection, the greatest concentration of power trading is at the Into Cinergy, Into Entergy, and TVA hubs.  The three major Western Interconnection hubs are California-Oregon Border (COB), Palo Verde and Mid-C.  See E. Russell Braziel, </w:t>
      </w:r>
      <w:r>
        <w:rPr>
          <w:i/>
        </w:rPr>
        <w:t>Trading Hubs:  Where Power Is Traded and Why</w:t>
      </w:r>
      <w:r>
        <w:rPr/>
        <w:t>, Power Marketing Association OnLine Magazine, (Dec. 1998).</w:t>
      </w:r>
    </w:p>
  </w:footnote>
  <w:footnote w:id="58">
    <w:p>
      <w:pPr>
        <w:pStyle w:val="FootnoteText"/>
        <w:rPr/>
      </w:pPr>
      <w:r>
        <w:rPr>
          <w:rStyle w:val="FootnoteCharacters"/>
        </w:rPr>
        <w:footnoteRef/>
      </w:r>
      <w:r>
        <w:rPr/>
        <w:t>The concept of selling electricity “into” a trading hub was developed in 1996 by traders from Enron, Cinergy and Entergy in advance of the NYMEX electricity futures contract.  The Working Group decided to adopt the language created by the traders and put it into legal terms.  Many have noted that the Schedule P description of  the Into product makes it  both a delivery point and a product.  It is a delivery point by specifying that delivery is “Into”  a specified control area interface or interconnection but the drafting committee added characteristics and legal responsibilities to make it a product.   Elizabeth Sager, an Assistant General Counsel with Enron North America, deserves much of the credit for developing the Into definition for the Master Agreement.</w:t>
      </w:r>
    </w:p>
  </w:footnote>
  <w:footnote w:id="59">
    <w:p>
      <w:pPr>
        <w:pStyle w:val="FootnoteText"/>
        <w:rPr/>
      </w:pPr>
      <w:r>
        <w:rPr>
          <w:rStyle w:val="FootnoteCharacters"/>
        </w:rPr>
        <w:footnoteRef/>
      </w:r>
      <w:r>
        <w:rPr/>
        <w:t xml:space="preserve"> </w:t>
      </w:r>
      <w:r>
        <w:rPr>
          <w:i/>
          <w:iCs/>
        </w:rPr>
        <w:t>See</w:t>
      </w:r>
      <w:r>
        <w:rPr/>
        <w:t xml:space="preserve"> Into Definition, Sec. 2.  “Available” transmission is what the transmission provider identifies as available for deliveries in or into its control area using either firm or non-firm service on a day-ahead or hourly basis.</w:t>
      </w:r>
    </w:p>
  </w:footnote>
  <w:footnote w:id="60">
    <w:p>
      <w:pPr>
        <w:pStyle w:val="FootnoteText"/>
        <w:rPr/>
      </w:pPr>
      <w:r>
        <w:rPr>
          <w:rStyle w:val="FootnoteCharacters"/>
        </w:rPr>
        <w:footnoteRef/>
      </w:r>
      <w:r>
        <w:rPr/>
        <w:t xml:space="preserve"> </w:t>
      </w:r>
      <w:r>
        <w:rPr/>
        <w:t xml:space="preserve">Buyer must make a transmission request up to 30 minutes after Seller designates the delivery point.  See Definition, Sec. 2. </w:t>
      </w:r>
    </w:p>
  </w:footnote>
  <w:footnote w:id="61">
    <w:p>
      <w:pPr>
        <w:pStyle w:val="FootnoteText"/>
        <w:rPr/>
      </w:pPr>
      <w:r>
        <w:rPr>
          <w:rStyle w:val="FootnoteCharacters"/>
        </w:rPr>
        <w:footnoteRef/>
      </w:r>
      <w:r>
        <w:rPr/>
        <w:t xml:space="preserve"> </w:t>
      </w:r>
      <w:r>
        <w:rPr/>
        <w:t>Buyer has 15 minutes to notify Seller of the rejection.  See Definition, Sec. 3D.</w:t>
      </w:r>
    </w:p>
  </w:footnote>
  <w:footnote w:id="62">
    <w:p>
      <w:pPr>
        <w:pStyle w:val="FootnoteText"/>
        <w:rPr/>
      </w:pPr>
      <w:r>
        <w:rPr>
          <w:rStyle w:val="FootnoteCharacters"/>
        </w:rPr>
        <w:footnoteRef/>
      </w:r>
      <w:r>
        <w:rPr/>
        <w:t xml:space="preserve"> </w:t>
      </w:r>
      <w:r>
        <w:rPr/>
        <w:t>Elizabeth Sager developed these examples for EEI’s workshops on the Master Agreement.</w:t>
      </w:r>
    </w:p>
  </w:footnote>
  <w:footnote w:id="63">
    <w:p>
      <w:pPr>
        <w:pStyle w:val="FootnoteText"/>
        <w:rPr/>
      </w:pPr>
      <w:r>
        <w:rPr>
          <w:rStyle w:val="FootnoteCharacters"/>
        </w:rPr>
        <w:footnoteRef/>
      </w:r>
      <w:r>
        <w:rPr/>
        <w:t xml:space="preserve"> </w:t>
      </w:r>
      <w:r>
        <w:rPr>
          <w:i/>
        </w:rPr>
        <w:t>See</w:t>
      </w:r>
      <w:r>
        <w:rPr/>
        <w:t xml:space="preserve"> Definition, Sec. 3A(iv).</w:t>
      </w:r>
    </w:p>
  </w:footnote>
  <w:footnote w:id="64">
    <w:p>
      <w:pPr>
        <w:pStyle w:val="FootnoteText"/>
        <w:rPr/>
      </w:pPr>
      <w:r>
        <w:rPr>
          <w:rStyle w:val="FootnoteCharacters"/>
        </w:rPr>
        <w:footnoteRef/>
      </w:r>
      <w:r>
        <w:rPr/>
        <w:t xml:space="preserve"> </w:t>
      </w:r>
      <w:r>
        <w:rPr>
          <w:i/>
        </w:rPr>
        <w:t>See</w:t>
      </w:r>
      <w:r>
        <w:rPr/>
        <w:t xml:space="preserve"> Definition, Sec. 3A.</w:t>
      </w:r>
    </w:p>
  </w:footnote>
  <w:footnote w:id="65">
    <w:p>
      <w:pPr>
        <w:pStyle w:val="FootnoteText"/>
        <w:rPr/>
      </w:pPr>
      <w:r>
        <w:rPr>
          <w:rStyle w:val="FootnoteCharacters"/>
        </w:rPr>
        <w:footnoteRef/>
      </w:r>
      <w:r>
        <w:rPr/>
        <w:t xml:space="preserve"> </w:t>
      </w:r>
      <w:r>
        <w:rPr>
          <w:i/>
        </w:rPr>
        <w:t>Id.</w:t>
      </w:r>
    </w:p>
  </w:footnote>
  <w:footnote w:id="66">
    <w:p>
      <w:pPr>
        <w:pStyle w:val="FootnoteText"/>
        <w:rPr/>
      </w:pPr>
      <w:r>
        <w:rPr>
          <w:rStyle w:val="FootnoteCharacters"/>
        </w:rPr>
        <w:footnoteRef/>
      </w:r>
      <w:r>
        <w:rPr/>
        <w:t xml:space="preserve"> </w:t>
      </w:r>
      <w:r>
        <w:rPr>
          <w:i/>
        </w:rPr>
        <w:t>See</w:t>
      </w:r>
      <w:r>
        <w:rPr/>
        <w:t xml:space="preserve"> Definition, Sec. 3C.</w:t>
      </w:r>
    </w:p>
  </w:footnote>
  <w:footnote w:id="67">
    <w:p>
      <w:pPr>
        <w:pStyle w:val="FootnoteText"/>
        <w:rPr/>
      </w:pPr>
      <w:r>
        <w:rPr>
          <w:rStyle w:val="FootnoteCharacters"/>
        </w:rPr>
        <w:footnoteRef/>
      </w:r>
      <w:r>
        <w:rPr/>
        <w:t xml:space="preserve"> </w:t>
      </w:r>
      <w:r>
        <w:rPr>
          <w:i/>
        </w:rPr>
        <w:t>Id.</w:t>
      </w:r>
    </w:p>
  </w:footnote>
  <w:footnote w:id="68">
    <w:p>
      <w:pPr>
        <w:pStyle w:val="FootnoteText"/>
        <w:rPr/>
      </w:pPr>
      <w:r>
        <w:rPr>
          <w:rStyle w:val="FootnoteCharacters"/>
        </w:rPr>
        <w:footnoteRef/>
      </w:r>
      <w:r>
        <w:rPr/>
        <w:t xml:space="preserve"> </w:t>
      </w:r>
      <w:r>
        <w:rPr/>
        <w:t>Under NERC Policy 9,  a transmission path may be cut based on the “weakest link” in the chain.</w:t>
      </w:r>
    </w:p>
  </w:footnote>
  <w:footnote w:id="69">
    <w:p>
      <w:pPr>
        <w:pStyle w:val="FootnoteText"/>
        <w:rPr/>
      </w:pPr>
      <w:r>
        <w:rPr>
          <w:rStyle w:val="FootnoteCharacters"/>
        </w:rPr>
        <w:footnoteRef/>
      </w:r>
      <w:r>
        <w:rPr/>
        <w:t xml:space="preserve"> </w:t>
      </w:r>
      <w:r>
        <w:rPr>
          <w:i/>
        </w:rPr>
        <w:t>See</w:t>
      </w:r>
      <w:r>
        <w:rPr/>
        <w:t xml:space="preserve"> Definition, Sec 4A.</w:t>
      </w:r>
    </w:p>
  </w:footnote>
  <w:footnote w:id="70">
    <w:p>
      <w:pPr>
        <w:pStyle w:val="FootnoteText"/>
        <w:rPr/>
      </w:pPr>
      <w:r>
        <w:rPr>
          <w:rStyle w:val="FootnoteCharacters"/>
        </w:rPr>
        <w:footnoteRef/>
      </w:r>
      <w:r>
        <w:rPr/>
        <w:t xml:space="preserve"> </w:t>
      </w:r>
      <w:r>
        <w:rPr/>
        <w:t xml:space="preserve">These concerns resulted in an effort to develop an alternative Into product that offloaded more of the transmission-related risk.  As of this writing, an alternative Into definition has not been included in the Master Agreement. </w:t>
      </w:r>
    </w:p>
  </w:footnote>
  <w:footnote w:id="71">
    <w:p>
      <w:pPr>
        <w:pStyle w:val="FootnoteText"/>
        <w:rPr/>
      </w:pPr>
      <w:r>
        <w:rPr>
          <w:rStyle w:val="FootnoteCharacters"/>
        </w:rPr>
        <w:footnoteRef/>
      </w:r>
      <w:r>
        <w:rPr/>
        <w:t xml:space="preserve"> </w:t>
      </w:r>
      <w:r>
        <w:rPr/>
        <w:t xml:space="preserve">Policy 3 requires certain transaction specific information to be provided to the control area operator on a “tag” before a transaction can be scheduled for reliability purposes.  Service requests can be rejected if the tag information does not meet the specifications.  Policy 9 permits NERC security coordinators to order control area operators to curtail or limit interchange transactions for reliability purposes.  </w:t>
      </w:r>
      <w:r>
        <w:rPr>
          <w:i/>
        </w:rPr>
        <w:t>See</w:t>
      </w:r>
      <w:r>
        <w:rPr/>
        <w:t xml:space="preserve"> </w:t>
      </w:r>
      <w:r>
        <w:rPr>
          <w:i/>
        </w:rPr>
        <w:t>Coalition Against Private Tariffs</w:t>
      </w:r>
      <w:r>
        <w:rPr/>
        <w:t>, 84 FERC ¶61,015 (1998).</w:t>
      </w:r>
    </w:p>
  </w:footnote>
  <w:footnote w:id="72">
    <w:p>
      <w:pPr>
        <w:pStyle w:val="FootnoteText"/>
        <w:rPr/>
      </w:pPr>
      <w:r>
        <w:rPr>
          <w:rStyle w:val="FootnoteCharacters"/>
        </w:rPr>
        <w:footnoteRef/>
      </w:r>
      <w:r>
        <w:rPr/>
        <w:t xml:space="preserve"> </w:t>
      </w:r>
      <w:r>
        <w:rPr>
          <w:i/>
        </w:rPr>
        <w:t>See</w:t>
      </w:r>
      <w:r>
        <w:rPr/>
        <w:t xml:space="preserve"> App. A, Article Four – Remedies for Failure to Deliver/Receive.</w:t>
      </w:r>
    </w:p>
  </w:footnote>
  <w:footnote w:id="73">
    <w:p>
      <w:pPr>
        <w:pStyle w:val="FootnoteText"/>
        <w:rPr/>
      </w:pPr>
      <w:r>
        <w:rPr>
          <w:rStyle w:val="FootnoteCharacters"/>
        </w:rPr>
        <w:footnoteRef/>
      </w:r>
      <w:r>
        <w:rPr/>
        <w:t xml:space="preserve"> </w:t>
      </w:r>
      <w:r>
        <w:rPr/>
        <w:t xml:space="preserve">This procedure is similar to the cover damages provision of  U.C.C. </w:t>
      </w:r>
      <w:r>
        <w:rPr>
          <w:rFonts w:eastAsia="MS Mincho;ＭＳ 明朝"/>
        </w:rPr>
        <w:t>§ 2-712. "Cover"; Buyer's Procurement of Substitute Goods.</w:t>
      </w:r>
      <w:r>
        <w:rPr/>
        <w:t xml:space="preserve"> </w:t>
      </w:r>
    </w:p>
  </w:footnote>
  <w:footnote w:id="74">
    <w:p>
      <w:pPr>
        <w:pStyle w:val="FootnoteText"/>
        <w:rPr/>
      </w:pPr>
      <w:r>
        <w:rPr>
          <w:rStyle w:val="FootnoteCharacters"/>
        </w:rPr>
        <w:footnoteRef/>
      </w:r>
      <w:r>
        <w:rPr>
          <w:i/>
        </w:rPr>
        <w:t>See</w:t>
      </w:r>
      <w:r>
        <w:rPr/>
        <w:t xml:space="preserve"> Section 4.1.  “Replacement Price” is defined in Section 1.51.  The buyer can include the cost of obtaining replacement product plus any additional related transmission charges incurred.  Penalties can not be included.</w:t>
      </w:r>
    </w:p>
  </w:footnote>
  <w:footnote w:id="75">
    <w:p>
      <w:pPr>
        <w:pStyle w:val="FootnoteText"/>
        <w:rPr/>
      </w:pPr>
      <w:r>
        <w:rPr>
          <w:rStyle w:val="FootnoteCharacters"/>
        </w:rPr>
        <w:footnoteRef/>
      </w:r>
      <w:r>
        <w:rPr>
          <w:i/>
        </w:rPr>
        <w:t>Id.</w:t>
      </w:r>
      <w:r>
        <w:rPr/>
        <w:t xml:space="preserve">   Book-outs are a frequent practice in the energy market when there are daisy chain transactions.  A book-out is a series of telephone conversations that occur when, in order to save transmission capacity and for other operational reasons, schedulers agree to financially settle a series of previously-agreed bilateral transactions rather than actually delivering or receiving power.  For example, if A is contractually obligated to sell power to B, B is contractually obligated to sell power to C, and C is contractually obligated to sell power to D, the parties might arrange for A to simply deliver power to D and for everyone else to settle their transactions financially.  If the chain goes full circle with D contractually obligated to sell power to A, the whole daisy chain might be booked out.  Source:  Patricia Dondanville and Caroline Goodson, Memorandum to EEI Drafting Committee dated February. 24, 1999.</w:t>
      </w:r>
    </w:p>
  </w:footnote>
  <w:footnote w:id="76">
    <w:p>
      <w:pPr>
        <w:pStyle w:val="FootnoteText"/>
        <w:rPr/>
      </w:pPr>
      <w:r>
        <w:rPr>
          <w:rStyle w:val="FootnoteCharacters"/>
        </w:rPr>
        <w:footnoteRef/>
      </w:r>
      <w:r>
        <w:rPr/>
        <w:t xml:space="preserve"> </w:t>
      </w:r>
      <w:r>
        <w:rPr>
          <w:i/>
        </w:rPr>
        <w:t>See</w:t>
      </w:r>
      <w:r>
        <w:rPr/>
        <w:t xml:space="preserve"> Section 4.2.  “Sales Price” is defined in Section 1.53.  The seller can deduct the cost of selling the product plus any additional related transmission charges incurred.  Penalties cannot be deducted.  The seller may also use a book-out settlement to determine the sales price.</w:t>
      </w:r>
    </w:p>
  </w:footnote>
  <w:footnote w:id="77">
    <w:p>
      <w:pPr>
        <w:pStyle w:val="FootnoteText"/>
        <w:rPr/>
      </w:pPr>
      <w:r>
        <w:rPr>
          <w:rStyle w:val="FootnoteCharacters"/>
        </w:rPr>
        <w:footnoteRef/>
      </w:r>
      <w:r>
        <w:rPr/>
        <w:t xml:space="preserve"> </w:t>
      </w:r>
      <w:r>
        <w:rPr/>
        <w:t xml:space="preserve">Although controversial in the Working Group,  synthetic cover is a common remedy in commercial law.  See U.C.C. §2-713.  </w:t>
      </w:r>
      <w:r>
        <w:rPr>
          <w:rFonts w:eastAsia="MS Mincho;ＭＳ 明朝"/>
        </w:rPr>
        <w:t>See also David W. Carroll, A Little Essay in Partial Defense of the Contract-Market Differential as a Remedy for Buyers, 57 S. CAL. L. REV. 667 (1984) (arguing that the contract-market differential provides an accurate compensatory remedy and the possibility of overcompensation is overstated); Eric S. Schneider, UCC § 2-713: A Defense of Buyers' Expectancy Damages, 22 CAL. W. L. REV. 233 (1986) (arguing that expectancy damages include both transaction costs and opportunity costs, which are best represented by contract-market damages measured at the time of performance); Robert E. Scott, The Case for Market Damages: Revisiting the Lost Profits Puzzle, 57 U. CHI. L. REV. 1155 (1990) (arguing that expectancy interest in market contracts should be measured ex ante and not limited ex post to estimated profits from completed performance); David Simon &amp; Gerald A. Novack, Limiting the Buyer's Market Damages to Lost Profits: A Challenge to the Enforceability of Market Contracts, 92 HARV. L. REV. 1395 (1979) (arguing that enforcement of market damages as of the time of performance deters breach and ensures specific performance between traders).</w:t>
      </w:r>
    </w:p>
  </w:footnote>
  <w:footnote w:id="78">
    <w:p>
      <w:pPr>
        <w:pStyle w:val="FootnoteText"/>
        <w:rPr/>
      </w:pPr>
      <w:r>
        <w:rPr>
          <w:rStyle w:val="FootnoteCharacters"/>
        </w:rPr>
        <w:footnoteRef/>
      </w:r>
      <w:r>
        <w:rPr/>
        <w:t xml:space="preserve"> </w:t>
      </w:r>
      <w:r>
        <w:rPr/>
        <w:t>For example, if a party uses  a source like Megawatt Daily, it should use an index, not the highest or lowest price.  In determining the market price other data is relevant to the extent it is available and reliable – the market data must be for the same product and it must be adjusted for the delivery point to the extent the delivery point in the transaction is not the same as the delivery point for which the market data exists. The ISDA Master uses a standardized method to determine market price, whereby a party finds four market makers in the same city, eliminates the high and low price and averages the middle prices.  The Drafting Committee did not use the same particularized detail because electric markets are not liquid now.  A “commercially reasonable” method for determining market prices is evolving in electricity marketing , so the drafters preferred to have a standard measurement develop over time.</w:t>
      </w:r>
    </w:p>
  </w:footnote>
  <w:footnote w:id="79">
    <w:p>
      <w:pPr>
        <w:pStyle w:val="FootnoteText"/>
        <w:rPr/>
      </w:pPr>
      <w:r>
        <w:rPr>
          <w:rStyle w:val="FootnoteCharacters"/>
        </w:rPr>
        <w:footnoteRef/>
      </w:r>
      <w:r>
        <w:rPr/>
        <w:t xml:space="preserve">The Master Agreement credit protections follow the conventions of the 1992 ISDA Master and 1994  ISDA Credit Annex.  For a detailed explanation of the operation of  these documents  See Michael A. Goldstein, ENERGY COMMODITY DERIVATIVES, 1147 PLI/Corp 517 (LEXIS) (Nov. 1999) and Barry Taylor-Brill, NEGOTIATING AND OPINING ON ISDA MASTERS, 1147 PLI/Corp 79 (LEXIS) (Nov. 1999).   See also Nina Hval, </w:t>
      </w:r>
      <w:r>
        <w:rPr>
          <w:i/>
        </w:rPr>
        <w:t>Credit Risk Reduction in the International Over-The-Counter Derivatives Market:  Collateralizing The Net Exposure With Support Agreements</w:t>
      </w:r>
      <w:r>
        <w:rPr/>
        <w:t xml:space="preserve">, 31 INTLLAW 801, 806 (LEXIS) (1997); Adam R. Waldman, </w:t>
      </w:r>
      <w:r>
        <w:rPr>
          <w:i/>
        </w:rPr>
        <w:t>OTC Derivatives &amp; Systemic Risk: Innovative Finance or The Dance Into The Abyss?</w:t>
      </w:r>
      <w:r>
        <w:rPr/>
        <w:t>, 43 Am. U.L.Rev. 1023, 1060 (1994).</w:t>
      </w:r>
    </w:p>
  </w:footnote>
  <w:footnote w:id="80">
    <w:p>
      <w:pPr>
        <w:pStyle w:val="FootnoteText"/>
        <w:rPr/>
      </w:pPr>
      <w:r>
        <w:rPr>
          <w:rStyle w:val="FootnoteCharacters"/>
        </w:rPr>
        <w:footnoteRef/>
      </w:r>
      <w:r>
        <w:rPr/>
        <w:t xml:space="preserve"> </w:t>
      </w:r>
      <w:r>
        <w:rPr>
          <w:i/>
        </w:rPr>
        <w:t>See</w:t>
      </w:r>
      <w:r>
        <w:rPr/>
        <w:t xml:space="preserve"> Haedicke, 17 Energy L.J. 123 (1996).</w:t>
      </w:r>
    </w:p>
  </w:footnote>
  <w:footnote w:id="81">
    <w:p>
      <w:pPr>
        <w:pStyle w:val="FootnoteText"/>
        <w:rPr/>
      </w:pPr>
      <w:r>
        <w:rPr>
          <w:rStyle w:val="FootnoteCharacters"/>
        </w:rPr>
        <w:footnoteRef/>
      </w:r>
      <w:r>
        <w:rPr/>
        <w:t xml:space="preserve"> </w:t>
      </w:r>
      <w:r>
        <w:rPr>
          <w:i/>
        </w:rPr>
        <w:t xml:space="preserve">See </w:t>
      </w:r>
      <w:r>
        <w:rPr/>
        <w:t>Section 8.1 for Party A’s Credit Protection from Party B and Section 8.2 for Party B’s Credit Protection from Party A.</w:t>
      </w:r>
    </w:p>
  </w:footnote>
  <w:footnote w:id="82">
    <w:p>
      <w:pPr>
        <w:pStyle w:val="FootnoteText"/>
        <w:rPr/>
      </w:pPr>
      <w:r>
        <w:rPr>
          <w:rStyle w:val="FootnoteCharacters"/>
        </w:rPr>
        <w:footnoteRef/>
      </w:r>
      <w:r>
        <w:rPr/>
        <w:t xml:space="preserve"> </w:t>
      </w:r>
      <w:r>
        <w:rPr/>
        <w:t>See Option C, Secs. 8.1(a) and 8.2(a).</w:t>
      </w:r>
    </w:p>
  </w:footnote>
  <w:footnote w:id="83">
    <w:p>
      <w:pPr>
        <w:pStyle w:val="FootnoteText"/>
        <w:rPr/>
      </w:pPr>
      <w:r>
        <w:rPr>
          <w:rStyle w:val="FootnoteCharacters"/>
        </w:rPr>
        <w:footnoteRef/>
      </w:r>
      <w:r>
        <w:rPr/>
        <w:t xml:space="preserve"> </w:t>
      </w:r>
      <w:r>
        <w:rPr/>
        <w:t>See Option A, Secs. 8.1(a) and 8.2(a).</w:t>
      </w:r>
    </w:p>
  </w:footnote>
  <w:footnote w:id="84">
    <w:p>
      <w:pPr>
        <w:pStyle w:val="FootnoteText"/>
        <w:rPr/>
      </w:pPr>
      <w:r>
        <w:rPr>
          <w:rStyle w:val="FootnoteCharacters"/>
        </w:rPr>
        <w:footnoteRef/>
      </w:r>
      <w:r>
        <w:rPr/>
        <w:t xml:space="preserve"> </w:t>
      </w:r>
      <w:r>
        <w:rPr/>
        <w:t xml:space="preserve">See Option B, Secs. 8.1(a) and 8.2(a).  The drafting committee cautions that enforcing Option B against an entity not a signatory to a Master Agreement might be difficult. </w:t>
      </w:r>
    </w:p>
  </w:footnote>
  <w:footnote w:id="85">
    <w:p>
      <w:pPr>
        <w:pStyle w:val="FootnoteText"/>
        <w:rPr/>
      </w:pPr>
      <w:r>
        <w:rPr>
          <w:rStyle w:val="FootnoteCharacters"/>
        </w:rPr>
        <w:footnoteRef/>
      </w:r>
      <w:r>
        <w:rPr/>
        <w:t xml:space="preserve"> </w:t>
      </w:r>
      <w:r>
        <w:rPr/>
        <w:t xml:space="preserve">The following examples illustrate Party A’s Credit Protection  from its counterparty, Party B.  As discussed in Note 79 </w:t>
      </w:r>
      <w:r>
        <w:rPr>
          <w:i/>
        </w:rPr>
        <w:t>supra</w:t>
      </w:r>
      <w:r>
        <w:rPr/>
        <w:t xml:space="preserve">, Party B has reciprocal rights against Party A. </w:t>
      </w:r>
    </w:p>
  </w:footnote>
  <w:footnote w:id="86">
    <w:p>
      <w:pPr>
        <w:pStyle w:val="FootnoteText"/>
        <w:rPr/>
      </w:pPr>
      <w:r>
        <w:rPr>
          <w:rStyle w:val="FootnoteCharacters"/>
        </w:rPr>
        <w:footnoteRef/>
      </w:r>
      <w:r>
        <w:rPr/>
        <w:t xml:space="preserve"> </w:t>
      </w:r>
      <w:r>
        <w:rPr/>
        <w:t>See Section 1.45.  Section 8.3 gives each party a security interest in any collateral provided as a Performance Assurance under Article Eight.</w:t>
      </w:r>
    </w:p>
  </w:footnote>
  <w:footnote w:id="87">
    <w:p>
      <w:pPr>
        <w:pStyle w:val="FootnoteText"/>
        <w:rPr/>
      </w:pPr>
      <w:r>
        <w:rPr>
          <w:rStyle w:val="FootnoteCharacters"/>
        </w:rPr>
        <w:footnoteRef/>
      </w:r>
      <w:r>
        <w:rPr/>
        <w:t xml:space="preserve"> </w:t>
      </w:r>
      <w:r>
        <w:rPr>
          <w:i/>
        </w:rPr>
        <w:t>See</w:t>
      </w:r>
      <w:r>
        <w:rPr/>
        <w:t xml:space="preserve"> Secs. 8.1(b) and 8.2(b).  This remedy is based on the common law contract principle of anticipatory repudiation, which has evolved under modern commercial law to the right to demand adequate assurance of future performance embodied in U.C.C. § 2-609.  New York law, which governs the Master Agreement, recognizes the right to demand assurance of future performance for good reason even for contracts not governed by the U.C.C.  See </w:t>
      </w:r>
      <w:r>
        <w:rPr>
          <w:i/>
          <w:iCs/>
        </w:rPr>
        <w:t>Norcon Power Partners, L.P. v. Niagara Mohawk Power Corp.</w:t>
      </w:r>
      <w:r>
        <w:rPr/>
        <w:t xml:space="preserve">, NY Ct. of Appeals, issued December 1, 1998 and IV.F.4.  </w:t>
      </w:r>
      <w:r>
        <w:rPr>
          <w:i/>
        </w:rPr>
        <w:t>infra</w:t>
      </w:r>
      <w:r>
        <w:rPr/>
        <w:t>.</w:t>
      </w:r>
    </w:p>
  </w:footnote>
  <w:footnote w:id="88">
    <w:p>
      <w:pPr>
        <w:pStyle w:val="FootnoteText"/>
        <w:rPr/>
      </w:pPr>
      <w:r>
        <w:rPr>
          <w:rStyle w:val="FootnoteCharacters"/>
        </w:rPr>
        <w:footnoteRef/>
      </w:r>
      <w:r>
        <w:rPr/>
        <w:t xml:space="preserve"> </w:t>
      </w:r>
      <w:r>
        <w:rPr>
          <w:i/>
        </w:rPr>
        <w:t>See</w:t>
      </w:r>
      <w:r>
        <w:rPr/>
        <w:t xml:space="preserve"> Secs. 8.1(e) and 8.2(e).</w:t>
      </w:r>
    </w:p>
  </w:footnote>
  <w:footnote w:id="89">
    <w:p>
      <w:pPr>
        <w:pStyle w:val="FootnoteText"/>
        <w:rPr/>
      </w:pPr>
      <w:r>
        <w:rPr>
          <w:rStyle w:val="FootnoteCharacters"/>
        </w:rPr>
        <w:footnoteRef/>
      </w:r>
      <w:r>
        <w:rPr/>
        <w:t xml:space="preserve"> </w:t>
      </w:r>
      <w:r>
        <w:rPr/>
        <w:t>A mark-to-market valuation determines the present value of the expected cash flows from a transaction using current  market prices. Mark-to-market valuation of the transactions in a trading desk portfolio (“book”) is a critical credit risk management tool that should be performed on a daily basis.  See Savage, Note 1 at 16.</w:t>
      </w:r>
    </w:p>
  </w:footnote>
  <w:footnote w:id="90">
    <w:p>
      <w:pPr>
        <w:pStyle w:val="FootnoteText"/>
        <w:rPr/>
      </w:pPr>
      <w:r>
        <w:rPr>
          <w:rStyle w:val="FootnoteCharacters"/>
        </w:rPr>
        <w:footnoteRef/>
      </w:r>
      <w:r>
        <w:rPr/>
        <w:t xml:space="preserve"> </w:t>
      </w:r>
      <w:r>
        <w:rPr/>
        <w:t>See also Secs. 8.1(c) and 8.2(c).</w:t>
      </w:r>
    </w:p>
  </w:footnote>
  <w:footnote w:id="91">
    <w:p>
      <w:pPr>
        <w:pStyle w:val="FootnoteText"/>
        <w:rPr/>
      </w:pPr>
      <w:r>
        <w:rPr>
          <w:rStyle w:val="FootnoteCharacters"/>
        </w:rPr>
        <w:footnoteRef/>
      </w:r>
      <w:r>
        <w:rPr/>
        <w:t>.</w:t>
      </w:r>
      <w:r>
        <w:rPr>
          <w:i/>
        </w:rPr>
        <w:t>See</w:t>
      </w:r>
      <w:r>
        <w:rPr/>
        <w:t xml:space="preserve"> Secs. 5.2 and 5.3.  See also IV.E.2. </w:t>
      </w:r>
      <w:r>
        <w:rPr>
          <w:i/>
        </w:rPr>
        <w:t>infra</w:t>
      </w:r>
      <w:r>
        <w:rPr/>
        <w:t xml:space="preserve">. </w:t>
      </w:r>
    </w:p>
  </w:footnote>
  <w:footnote w:id="92">
    <w:p>
      <w:pPr>
        <w:pStyle w:val="FootnoteText"/>
        <w:rPr/>
      </w:pPr>
      <w:r>
        <w:rPr>
          <w:rStyle w:val="FootnoteCharacters"/>
        </w:rPr>
        <w:footnoteRef/>
      </w:r>
      <w:r>
        <w:rPr/>
        <w:t xml:space="preserve"> </w:t>
      </w:r>
      <w:r>
        <w:rPr>
          <w:i/>
        </w:rPr>
        <w:t>See</w:t>
      </w:r>
      <w:r>
        <w:rPr/>
        <w:t xml:space="preserve"> Waldman, </w:t>
      </w:r>
      <w:r>
        <w:rPr>
          <w:i/>
        </w:rPr>
        <w:t>supra</w:t>
      </w:r>
      <w:r>
        <w:rPr/>
        <w:t xml:space="preserve"> Note 77 at 1048-1049.</w:t>
      </w:r>
    </w:p>
  </w:footnote>
  <w:footnote w:id="93">
    <w:p>
      <w:pPr>
        <w:pStyle w:val="FootnoteText"/>
        <w:rPr/>
      </w:pPr>
      <w:r>
        <w:rPr>
          <w:rStyle w:val="FootnoteCharacters"/>
        </w:rPr>
        <w:footnoteRef/>
      </w:r>
      <w:r>
        <w:rPr/>
        <w:t xml:space="preserve">  </w:t>
      </w:r>
      <w:r>
        <w:rPr/>
        <w:t>Party A can also structure the Master Agreement to have the Independent Amount be triggered in the event of a material adverse change, such as a downgrade of Party B’s credit rating.  In this scenario, the Independent Amount is zero under normal conditions but becomes a positive number upon the occurrence of some prescribed event.</w:t>
      </w:r>
    </w:p>
  </w:footnote>
  <w:footnote w:id="94">
    <w:p>
      <w:pPr>
        <w:pStyle w:val="FootnoteText"/>
        <w:rPr/>
      </w:pPr>
      <w:r>
        <w:rPr>
          <w:rStyle w:val="FootnoteCharacters"/>
        </w:rPr>
        <w:footnoteRef/>
      </w:r>
      <w:r>
        <w:rPr/>
        <w:t xml:space="preserve"> </w:t>
      </w:r>
      <w:r>
        <w:rPr/>
        <w:t>The Rounding Amount is designed to avoid delivering or returning nuisance amounts of collateral.  It is used for rounding a collateral delivery amount to the nearest multiple, $100,000 for example, to avoid delivering or returning collateral in irregular amounts.  It can also be used to increase a collateral delivery amount slightly to make the delivery of collateral occur less often.</w:t>
      </w:r>
    </w:p>
  </w:footnote>
  <w:footnote w:id="95">
    <w:p>
      <w:pPr>
        <w:pStyle w:val="FootnoteText"/>
        <w:rPr/>
      </w:pPr>
      <w:r>
        <w:rPr>
          <w:rStyle w:val="FootnoteCharacters"/>
        </w:rPr>
        <w:footnoteRef/>
      </w:r>
      <w:r>
        <w:rPr/>
        <w:t xml:space="preserve"> </w:t>
      </w:r>
      <w:r>
        <w:rPr>
          <w:i/>
        </w:rPr>
        <w:t>See</w:t>
      </w:r>
      <w:r>
        <w:rPr/>
        <w:t xml:space="preserve"> Secs. 8.1(d) and 8.2(d).   Sections 8.1 and 8.2 make paragraph (b) apply exclusively if paragraphs (b), (c) or (d) are not specified on the Cover Sheet.</w:t>
      </w:r>
    </w:p>
  </w:footnote>
  <w:footnote w:id="96">
    <w:p>
      <w:pPr>
        <w:pStyle w:val="FootnoteText"/>
        <w:rPr/>
      </w:pPr>
      <w:r>
        <w:rPr>
          <w:rStyle w:val="FootnoteCharacters"/>
        </w:rPr>
        <w:footnoteRef/>
      </w:r>
      <w:r>
        <w:rPr/>
        <w:t xml:space="preserve"> </w:t>
      </w:r>
      <w:r>
        <w:rPr/>
        <w:t xml:space="preserve">Presented at the EEI-NEM workshop:  </w:t>
      </w:r>
      <w:r>
        <w:rPr>
          <w:i/>
        </w:rPr>
        <w:t>Power Transactions:  Using the EEI-NEM Master Contract from Deal to Payment</w:t>
      </w:r>
      <w:r>
        <w:rPr/>
        <w:t>, New York (Apr. 25, 2000).</w:t>
      </w:r>
    </w:p>
  </w:footnote>
  <w:footnote w:id="97">
    <w:p>
      <w:pPr>
        <w:pStyle w:val="FootnoteText"/>
        <w:rPr/>
      </w:pPr>
      <w:r>
        <w:rPr>
          <w:rStyle w:val="FootnoteCharacters"/>
        </w:rPr>
        <w:footnoteRef/>
      </w:r>
      <w:r>
        <w:rPr/>
        <w:t xml:space="preserve"> </w:t>
      </w:r>
      <w:r>
        <w:rPr>
          <w:i/>
        </w:rPr>
        <w:t>See</w:t>
      </w:r>
      <w:r>
        <w:rPr/>
        <w:t xml:space="preserve"> Sec. 5.1.</w:t>
      </w:r>
    </w:p>
  </w:footnote>
  <w:footnote w:id="98">
    <w:p>
      <w:pPr>
        <w:pStyle w:val="FootnoteText"/>
        <w:rPr/>
      </w:pPr>
      <w:r>
        <w:rPr>
          <w:rStyle w:val="FootnoteCharacters"/>
        </w:rPr>
        <w:footnoteRef/>
      </w:r>
      <w:r>
        <w:rPr/>
        <w:t xml:space="preserve"> </w:t>
      </w:r>
      <w:r>
        <w:rPr>
          <w:i/>
        </w:rPr>
        <w:t>See</w:t>
      </w:r>
      <w:r>
        <w:rPr/>
        <w:t xml:space="preserve"> Sec. 5.1(c).</w:t>
      </w:r>
    </w:p>
  </w:footnote>
  <w:footnote w:id="99">
    <w:p>
      <w:pPr>
        <w:pStyle w:val="FootnoteText"/>
        <w:rPr/>
      </w:pPr>
      <w:r>
        <w:rPr>
          <w:rStyle w:val="FootnoteCharacters"/>
        </w:rPr>
        <w:footnoteRef/>
      </w:r>
      <w:r>
        <w:rPr/>
        <w:t xml:space="preserve"> </w:t>
      </w:r>
      <w:r>
        <w:rPr/>
        <w:t>Some occurrences in Section 5.1 provide for a three-day cure period before an Event of Default may be called.  .</w:t>
      </w:r>
    </w:p>
  </w:footnote>
  <w:footnote w:id="100">
    <w:p>
      <w:pPr>
        <w:pStyle w:val="FootnoteText"/>
        <w:rPr/>
      </w:pPr>
      <w:r>
        <w:rPr>
          <w:rStyle w:val="FootnoteCharacters"/>
        </w:rPr>
        <w:footnoteRef/>
      </w:r>
      <w:r>
        <w:rPr/>
        <w:t xml:space="preserve"> </w:t>
      </w:r>
      <w:r>
        <w:rPr/>
        <w:t>S</w:t>
      </w:r>
      <w:r>
        <w:rPr>
          <w:i/>
        </w:rPr>
        <w:t>ee</w:t>
      </w:r>
      <w:r>
        <w:rPr/>
        <w:t xml:space="preserve"> Sec. 5.7.  This condition provides some fairness for both parties.  It gives the non-defaulting party 10 days to decide whether or not to proceed with a full fledged default and wind up every mutual transaction and it gives the defaulting party some early certainty as to what happens next.  A party can also suspend performance for Potential Events of Default which are events that are likely to become full-fledged defaults.  For example, a party could discontinue making further deliveries for 10 days if there is a strong risk of non-payment.  If a counterparty is on the brink of meltdown, the party could expedite default by using the collateral call/Performance Assurance procedures under Sections 8.1 and 8.2.</w:t>
      </w:r>
    </w:p>
  </w:footnote>
  <w:footnote w:id="101">
    <w:p>
      <w:pPr>
        <w:pStyle w:val="FootnoteText"/>
        <w:rPr/>
      </w:pPr>
      <w:r>
        <w:rPr>
          <w:rStyle w:val="FootnoteCharacters"/>
        </w:rPr>
        <w:footnoteRef/>
      </w:r>
      <w:r>
        <w:rPr/>
        <w:t xml:space="preserve"> </w:t>
      </w:r>
      <w:r>
        <w:rPr>
          <w:i/>
        </w:rPr>
        <w:t>See</w:t>
      </w:r>
      <w:r>
        <w:rPr/>
        <w:t xml:space="preserve"> Sec. 5.2.  The working group chose to have all transactions terminated to ensure that the party that is throwing the other party into default does not “cherry pick” transactions by using an Event of Default to take gains and shed losses.  This condition is modeled after the ISDA Master Agreement.  Marvin Goldstein, a partner with the law firm Stroock &amp; Stroock &amp; Lavan, LLP, believes that a liquidation clause permitting selective termination of  “any and  all” transactions is better reflects the needs of a physical delivery market.</w:t>
      </w:r>
    </w:p>
  </w:footnote>
  <w:footnote w:id="102">
    <w:p>
      <w:pPr>
        <w:pStyle w:val="FootnoteText"/>
        <w:rPr/>
      </w:pPr>
      <w:r>
        <w:rPr>
          <w:rStyle w:val="FootnoteCharacters"/>
        </w:rPr>
        <w:footnoteRef/>
      </w:r>
      <w:r>
        <w:rPr/>
        <w:t xml:space="preserve"> </w:t>
      </w:r>
      <w:r>
        <w:rPr>
          <w:i/>
        </w:rPr>
        <w:t>See</w:t>
      </w:r>
      <w:r>
        <w:rPr/>
        <w:t xml:space="preserve"> 18 C.F.R. § 35.16.  As discussed in V. </w:t>
      </w:r>
      <w:r>
        <w:rPr>
          <w:i/>
          <w:iCs/>
        </w:rPr>
        <w:t>infra</w:t>
      </w:r>
      <w:r>
        <w:rPr/>
        <w:t>, this notice requirement only applies to contracts that must be on file at the FERC.</w:t>
      </w:r>
    </w:p>
  </w:footnote>
  <w:footnote w:id="103">
    <w:p>
      <w:pPr>
        <w:pStyle w:val="FootnoteText"/>
        <w:rPr/>
      </w:pPr>
      <w:r>
        <w:rPr>
          <w:rStyle w:val="FootnoteCharacters"/>
        </w:rPr>
        <w:footnoteRef/>
      </w:r>
      <w:r>
        <w:rPr/>
        <w:t xml:space="preserve"> </w:t>
      </w:r>
      <w:r>
        <w:rPr>
          <w:i/>
        </w:rPr>
        <w:t>See</w:t>
      </w:r>
      <w:r>
        <w:rPr/>
        <w:t xml:space="preserve"> Sec. 5.3.</w:t>
      </w:r>
    </w:p>
  </w:footnote>
  <w:footnote w:id="104">
    <w:p>
      <w:pPr>
        <w:pStyle w:val="FootnoteText"/>
        <w:rPr/>
      </w:pPr>
      <w:r>
        <w:rPr>
          <w:rStyle w:val="FootnoteCharacters"/>
        </w:rPr>
        <w:footnoteRef/>
      </w:r>
      <w:r>
        <w:rPr/>
        <w:t xml:space="preserve"> </w:t>
      </w:r>
      <w:r>
        <w:rPr>
          <w:i/>
        </w:rPr>
        <w:t>See</w:t>
      </w:r>
      <w:r>
        <w:rPr/>
        <w:t xml:space="preserve"> Sec. 5.6</w:t>
      </w:r>
    </w:p>
  </w:footnote>
  <w:footnote w:id="105">
    <w:p>
      <w:pPr>
        <w:pStyle w:val="FootnoteText"/>
        <w:rPr/>
      </w:pPr>
      <w:r>
        <w:rPr>
          <w:rStyle w:val="FootnoteCharacters"/>
        </w:rPr>
        <w:footnoteRef/>
      </w:r>
      <w:r>
        <w:rPr/>
        <w:t xml:space="preserve"> </w:t>
      </w:r>
      <w:r>
        <w:rPr/>
        <w:t xml:space="preserve">Setoff is a common law remedy “grounded on the absurdity of making A pay B when B owes A.”  See </w:t>
      </w:r>
      <w:r>
        <w:rPr>
          <w:u w:val="single"/>
        </w:rPr>
        <w:t>Studley v. Boylston Nat’l Bank</w:t>
      </w:r>
      <w:r>
        <w:rPr/>
        <w:t>, 229 U.S. 523, 528 (1913).  The 1994 ISDA Credit Annex incorporates a setoff remedy.  Many energy marketer credit departments are using setoff as a way to reduce overall credit exposure to a counterparty.  Reducing credit exposure allows an increase in trading limits  which is supported by the traders.</w:t>
      </w:r>
    </w:p>
  </w:footnote>
  <w:footnote w:id="106">
    <w:p>
      <w:pPr>
        <w:pStyle w:val="FootnoteText"/>
        <w:rPr/>
      </w:pPr>
      <w:r>
        <w:rPr>
          <w:rStyle w:val="FootnoteCharacters"/>
        </w:rPr>
        <w:footnoteRef/>
      </w:r>
      <w:r>
        <w:rPr/>
        <w:t xml:space="preserve"> </w:t>
      </w:r>
      <w:r>
        <w:rPr/>
        <w:t>The cover sheet allows one to specify if  all affiliates or certain affiliates are excluded from setoff. Affiliate setoff is particularly sensitive for utility companies or affiliates of utility companies who are concerned about cross subsidization requirements.  Some working group members have raised questions about the enforceability of affiliate setoff.  But others maintain its “better to sit on the money and let them pry it out of your hand.”</w:t>
      </w:r>
    </w:p>
  </w:footnote>
  <w:footnote w:id="107">
    <w:p>
      <w:pPr>
        <w:pStyle w:val="FootnoteText"/>
        <w:rPr/>
      </w:pPr>
      <w:r>
        <w:rPr>
          <w:rStyle w:val="FootnoteCharacters"/>
        </w:rPr>
        <w:footnoteRef/>
      </w:r>
      <w:r>
        <w:rPr/>
        <w:t xml:space="preserve"> </w:t>
      </w:r>
      <w:r>
        <w:rPr/>
        <w:t>Article Six does not address these extraordinary payments:   (1) optional Accelerated Damages under Article Four and (2) Termination Payments owed under Article Five.</w:t>
      </w:r>
    </w:p>
  </w:footnote>
  <w:footnote w:id="108">
    <w:p>
      <w:pPr>
        <w:pStyle w:val="FootnoteText"/>
        <w:rPr/>
      </w:pPr>
      <w:r>
        <w:rPr>
          <w:rStyle w:val="FootnoteCharacters"/>
        </w:rPr>
        <w:footnoteRef/>
      </w:r>
      <w:r>
        <w:rPr/>
        <w:t xml:space="preserve">Payment netting involves discharging the offsetting payment obligations or credits due each party on the same date for transactions executed or cover damages computed during a calendar month.   Each party  will pay only the net “set off” amount due the other party.  See Section 6.4.  </w:t>
      </w:r>
    </w:p>
  </w:footnote>
  <w:footnote w:id="109">
    <w:p>
      <w:pPr>
        <w:pStyle w:val="FootnoteText"/>
        <w:rPr/>
      </w:pPr>
      <w:r>
        <w:rPr>
          <w:rStyle w:val="FootnoteCharacters"/>
        </w:rPr>
        <w:footnoteRef/>
      </w:r>
      <w:r>
        <w:rPr/>
        <w:t xml:space="preserve">The party obligated to deliver the greater amount of energy only delivers the difference between its total obligation and the amount of offsetting quantities owed by its counterparty.  The party owing the greater aggregate payment will pay the net difference owed between the parties.  See Section 6.7. Transaction netting is not the same as a book-out because only bilateral transactions occurring at the same time and delivery point may be netted.  See Note 74, </w:t>
      </w:r>
      <w:r>
        <w:rPr>
          <w:i/>
        </w:rPr>
        <w:t>supra</w:t>
      </w:r>
      <w:r>
        <w:rPr/>
        <w:t xml:space="preserve">.  </w:t>
      </w:r>
    </w:p>
  </w:footnote>
  <w:footnote w:id="110">
    <w:p>
      <w:pPr>
        <w:pStyle w:val="FootnoteText"/>
        <w:rPr/>
      </w:pPr>
      <w:r>
        <w:rPr>
          <w:rStyle w:val="FootnoteCharacters"/>
        </w:rPr>
        <w:footnoteRef/>
      </w:r>
      <w:r>
        <w:rPr/>
        <w:t xml:space="preserve"> </w:t>
      </w:r>
      <w:r>
        <w:rPr/>
        <w:t>Section 6.1 makes the calendar month the billing period with bills rendered as soon as practicable after the end of the month, unless otherwise agreed.  Section 6.2 requires invoice payment by the later of the 20</w:t>
      </w:r>
      <w:r>
        <w:rPr>
          <w:vertAlign w:val="superscript"/>
        </w:rPr>
        <w:t>th</w:t>
      </w:r>
      <w:r>
        <w:rPr/>
        <w:t xml:space="preserve"> day of the month or ten days after receiving an invoice. Section 6.3 establishes procedures for disputes and adjustments of invoices.  A party may dispute the accuracy of or make an adjustment for computational errors in an invoice, in good faith, within 12 months of its receipt.</w:t>
      </w:r>
    </w:p>
  </w:footnote>
  <w:footnote w:id="111">
    <w:p>
      <w:pPr>
        <w:pStyle w:val="FootnoteText"/>
        <w:rPr/>
      </w:pPr>
      <w:r>
        <w:rPr>
          <w:rStyle w:val="FootnoteCharacters"/>
        </w:rPr>
        <w:footnoteRef/>
      </w:r>
      <w:r>
        <w:rPr/>
        <w:t xml:space="preserve"> </w:t>
      </w:r>
      <w:r>
        <w:rPr>
          <w:i/>
        </w:rPr>
        <w:t xml:space="preserve">See </w:t>
      </w:r>
      <w:r>
        <w:rPr/>
        <w:t>Sec. 10.2(viii).</w:t>
      </w:r>
    </w:p>
  </w:footnote>
  <w:footnote w:id="112">
    <w:p>
      <w:pPr>
        <w:pStyle w:val="FootnoteText"/>
        <w:rPr/>
      </w:pPr>
      <w:r>
        <w:rPr>
          <w:rStyle w:val="FootnoteCharacters"/>
        </w:rPr>
        <w:footnoteRef/>
      </w:r>
      <w:r>
        <w:rPr/>
        <w:t xml:space="preserve"> </w:t>
      </w:r>
      <w:r>
        <w:rPr>
          <w:i/>
        </w:rPr>
        <w:t>See</w:t>
      </w:r>
      <w:r>
        <w:rPr/>
        <w:t xml:space="preserve"> Sec. 10.2(ix).</w:t>
      </w:r>
    </w:p>
  </w:footnote>
  <w:footnote w:id="113">
    <w:p>
      <w:pPr>
        <w:pStyle w:val="FootnoteText"/>
        <w:rPr/>
      </w:pPr>
      <w:r>
        <w:rPr>
          <w:rStyle w:val="FootnoteCharacters"/>
        </w:rPr>
        <w:footnoteRef/>
      </w:r>
      <w:r>
        <w:rPr/>
        <w:t xml:space="preserve"> </w:t>
      </w:r>
      <w:r>
        <w:rPr>
          <w:i/>
        </w:rPr>
        <w:t>See</w:t>
      </w:r>
      <w:r>
        <w:rPr/>
        <w:t xml:space="preserve"> Marvin J. Goldstein, </w:t>
      </w:r>
      <w:r>
        <w:rPr>
          <w:i/>
        </w:rPr>
        <w:t>Commodity &amp; Derivative Trading and the Bankruptcy Code</w:t>
      </w:r>
      <w:r>
        <w:rPr/>
        <w:t xml:space="preserve">, Originally presented at “Power Marketing:  A Blueprint for Managing Risks in the Restructured Electric Industry,” held in Baltimore, MD on May 3-4, sponsored by Public Utilities Reports and on file with Energy Law Journal.  See also Johnson, at  1053-71, Note 77 </w:t>
      </w:r>
      <w:r>
        <w:rPr>
          <w:i/>
        </w:rPr>
        <w:t>supra</w:t>
      </w:r>
      <w:r>
        <w:rPr/>
        <w:t>.</w:t>
      </w:r>
    </w:p>
  </w:footnote>
  <w:footnote w:id="114">
    <w:p>
      <w:pPr>
        <w:pStyle w:val="FootnoteText"/>
        <w:rPr/>
      </w:pPr>
      <w:r>
        <w:rPr>
          <w:rStyle w:val="FootnoteCharacters"/>
        </w:rPr>
        <w:footnoteRef/>
      </w:r>
      <w:r>
        <w:rPr/>
        <w:t xml:space="preserve"> </w:t>
      </w:r>
      <w:r>
        <w:rPr>
          <w:i/>
        </w:rPr>
        <w:t>See</w:t>
      </w:r>
      <w:r>
        <w:rPr/>
        <w:t xml:space="preserve"> Paul J. Pantano, Jr., </w:t>
      </w:r>
      <w:r>
        <w:rPr>
          <w:i/>
        </w:rPr>
        <w:t>Electric Power:  Managing Legal Risk in a New Commodity Market</w:t>
      </w:r>
      <w:r>
        <w:rPr/>
        <w:t>, Futures &amp; Derivatives L. Rpt.,  (April 1999)</w:t>
      </w:r>
    </w:p>
  </w:footnote>
  <w:footnote w:id="115">
    <w:p>
      <w:pPr>
        <w:pStyle w:val="FootnoteText"/>
        <w:rPr/>
      </w:pPr>
      <w:r>
        <w:rPr>
          <w:rStyle w:val="FootnoteCharacters"/>
        </w:rPr>
        <w:footnoteRef/>
      </w:r>
      <w:r>
        <w:rPr/>
        <w:t xml:space="preserve"> </w:t>
      </w:r>
      <w:r>
        <w:rPr>
          <w:i/>
        </w:rPr>
        <w:t>See</w:t>
      </w:r>
      <w:r>
        <w:rPr/>
        <w:t xml:space="preserve"> Sec. 10.6.</w:t>
      </w:r>
    </w:p>
  </w:footnote>
  <w:footnote w:id="116">
    <w:p>
      <w:pPr>
        <w:pStyle w:val="FootnoteText"/>
        <w:rPr/>
      </w:pPr>
      <w:r>
        <w:rPr>
          <w:rStyle w:val="FootnoteCharacters"/>
        </w:rPr>
        <w:footnoteRef/>
      </w:r>
      <w:r>
        <w:rPr/>
        <w:t xml:space="preserve"> </w:t>
      </w:r>
      <w:r>
        <w:rPr>
          <w:i/>
        </w:rPr>
        <w:t>See</w:t>
      </w:r>
      <w:r>
        <w:rPr/>
        <w:t xml:space="preserve"> </w:t>
      </w:r>
      <w:r>
        <w:rPr>
          <w:u w:val="single"/>
        </w:rPr>
        <w:t>Farina v. Niagara Mohawk Power Corp.</w:t>
      </w:r>
      <w:r>
        <w:rPr/>
        <w:t>, 81 A.D.2d 700,  (1981) (“[t]here is the implicit suggestion that electricity,  ‘A subtle agency that pervades all space and evades successful definition’ (Ballantine's Law Dictionary), is not a product within the contemplation of the doctrine's authors.  Additionally, we note the inapplicability of the strict liability doctrine.”).</w:t>
      </w:r>
    </w:p>
  </w:footnote>
  <w:footnote w:id="117">
    <w:p>
      <w:pPr>
        <w:pStyle w:val="FootnoteText"/>
        <w:rPr/>
      </w:pPr>
      <w:r>
        <w:rPr>
          <w:rStyle w:val="FootnoteCharacters"/>
        </w:rPr>
        <w:footnoteRef/>
      </w:r>
      <w:r>
        <w:rPr/>
        <w:t xml:space="preserve"> </w:t>
      </w:r>
      <w:r>
        <w:rPr>
          <w:i/>
        </w:rPr>
        <w:t>Id</w:t>
      </w:r>
      <w:r>
        <w:rPr/>
        <w:t>.</w:t>
      </w:r>
    </w:p>
  </w:footnote>
  <w:footnote w:id="118">
    <w:p>
      <w:pPr>
        <w:pStyle w:val="FootnoteText"/>
        <w:rPr/>
      </w:pPr>
      <w:r>
        <w:rPr>
          <w:rStyle w:val="FootnoteCharacters"/>
        </w:rPr>
        <w:footnoteRef/>
      </w:r>
      <w:r>
        <w:rPr>
          <w:i/>
          <w:iCs/>
        </w:rPr>
        <w:t>See</w:t>
      </w:r>
      <w:r>
        <w:rPr/>
        <w:t xml:space="preserve"> 16 U.S.C. § 824d. (Requiring all jurisdictional utilities to file, and keep open for public inspection, schedules showing “all rates and charges…and the classifications, practices, and regulations affecting such rates and charges, together with all contracts which in any manner affect” rates for wholesale sales or transmission.); See also </w:t>
      </w:r>
      <w:r>
        <w:rPr>
          <w:i/>
          <w:iCs/>
        </w:rPr>
        <w:t>Arkansas Louisiana Gas Co. v. Hall</w:t>
      </w:r>
      <w:r>
        <w:rPr/>
        <w:t>, 452 U.S. 571, 577-578, 101 S.Ct. 2925, 2930 (1981) (Explaining that the filed rate doctrine makes it unlawful to charge a rate other than the one on file with the Commission); and 18 C.F.R. Part 35 – Filing of Rate Schedules.</w:t>
      </w:r>
    </w:p>
  </w:footnote>
  <w:footnote w:id="119">
    <w:p>
      <w:pPr>
        <w:pStyle w:val="FootnoteText"/>
        <w:rPr/>
      </w:pPr>
      <w:r>
        <w:rPr>
          <w:rStyle w:val="FootnoteCharacters"/>
        </w:rPr>
        <w:footnoteRef/>
      </w:r>
      <w:r>
        <w:rPr/>
        <w:t xml:space="preserve"> </w:t>
      </w:r>
      <w:r>
        <w:rPr>
          <w:i/>
          <w:iCs/>
        </w:rPr>
        <w:t>See</w:t>
      </w:r>
      <w:r>
        <w:rPr/>
        <w:t xml:space="preserve"> Sam Behrends, </w:t>
      </w:r>
      <w:r>
        <w:rPr>
          <w:i/>
          <w:iCs/>
        </w:rPr>
        <w:t>EEI’s Master Contract:  OK by FERC?</w:t>
      </w:r>
      <w:r>
        <w:rPr/>
        <w:t>, Public Utilities Fortnightly, January 1, 2000. (“With consistency being the hobgoblin of small minds, the FERC has recognized that the old statute ought to be applied differently to sellers with different levels of market power, leading to a mish-mash of confusing rules and policy for various types of transactions).  Indeed, the FERC provides the most comprehensive guidance through its website wherein potential applicants are advised to review recent applications and decisions before preparing their own requests for market-based rate authority.  See How to Get Market-Based Rate Approval, ww.ferc.fed.us/electric/PwrMkt/Pmhow.htm.</w:t>
      </w:r>
    </w:p>
  </w:footnote>
  <w:footnote w:id="120">
    <w:p>
      <w:pPr>
        <w:pStyle w:val="FootnoteText"/>
        <w:rPr/>
      </w:pPr>
      <w:r>
        <w:rPr>
          <w:rStyle w:val="FootnoteCharacters"/>
        </w:rPr>
        <w:footnoteRef/>
      </w:r>
      <w:r>
        <w:rPr/>
        <w:t xml:space="preserve">  </w:t>
      </w:r>
      <w:r>
        <w:rPr>
          <w:i/>
          <w:iCs/>
        </w:rPr>
        <w:t>See</w:t>
      </w:r>
      <w:r>
        <w:rPr/>
        <w:t xml:space="preserve"> </w:t>
      </w:r>
      <w:r>
        <w:rPr>
          <w:i/>
          <w:iCs/>
        </w:rPr>
        <w:t>Consolidated Edison Energy, Inc.</w:t>
      </w:r>
      <w:r>
        <w:rPr/>
        <w:t>, 83 FERC ¶ 61,236 at 62,033 (1998) (“The Commission allows power sales at market-based rates if the seller and its affiliates do not have, or have adequately mitigated, market power in generation and transmission and cannot erect other barriers to entry.”)</w:t>
      </w:r>
    </w:p>
  </w:footnote>
  <w:footnote w:id="121">
    <w:p>
      <w:pPr>
        <w:pStyle w:val="FootnoteText"/>
        <w:rPr/>
      </w:pPr>
      <w:r>
        <w:rPr>
          <w:rStyle w:val="FootnoteCharacters"/>
        </w:rPr>
        <w:footnoteRef/>
      </w:r>
      <w:r>
        <w:rPr>
          <w:i/>
          <w:iCs/>
        </w:rPr>
        <w:t>See</w:t>
      </w:r>
      <w:r>
        <w:rPr/>
        <w:t xml:space="preserve"> </w:t>
      </w:r>
      <w:r>
        <w:rPr>
          <w:i/>
          <w:iCs/>
        </w:rPr>
        <w:t>Kincaid Generation, L.L.C.</w:t>
      </w:r>
      <w:r>
        <w:rPr/>
        <w:t xml:space="preserve">, 78 FERC ¶61,082 at 61,300-01 (1997). Transactions between an asset-based utility and its unregulated affiliate are subject to a code of conduct that must be filed in advance along with the tariff. </w:t>
      </w:r>
    </w:p>
  </w:footnote>
  <w:footnote w:id="122">
    <w:p>
      <w:pPr>
        <w:pStyle w:val="FootnoteText"/>
        <w:rPr/>
      </w:pPr>
      <w:r>
        <w:rPr>
          <w:rStyle w:val="FootnoteCharacters"/>
        </w:rPr>
        <w:footnoteRef/>
      </w:r>
      <w:r>
        <w:rPr/>
        <w:t xml:space="preserve"> </w:t>
      </w:r>
      <w:r>
        <w:rPr/>
        <w:t>One solution is to ensure that upstream sellers use a generic enabling clause in the tariff.</w:t>
      </w:r>
    </w:p>
  </w:footnote>
  <w:footnote w:id="123">
    <w:p>
      <w:pPr>
        <w:pStyle w:val="FootnoteText"/>
        <w:spacing w:before="240" w:after="0"/>
        <w:rPr/>
      </w:pPr>
      <w:r>
        <w:rPr>
          <w:rStyle w:val="FootnoteCharacters"/>
        </w:rPr>
        <w:footnoteRef/>
      </w:r>
      <w:r>
        <w:rPr/>
        <w:t xml:space="preserve"> </w:t>
      </w:r>
      <w:r>
        <w:rPr/>
        <w:t xml:space="preserve">The courts or alternative dispute resolution are effective ways to resolve contract disputes.  Under the </w:t>
      </w:r>
      <w:r>
        <w:rPr>
          <w:i/>
          <w:iCs/>
        </w:rPr>
        <w:t>Arkansas Louisiana</w:t>
      </w:r>
      <w:r>
        <w:rPr/>
        <w:t xml:space="preserve"> (note 118, </w:t>
      </w:r>
      <w:r>
        <w:rPr>
          <w:i/>
          <w:iCs/>
        </w:rPr>
        <w:t>supra</w:t>
      </w:r>
      <w:r>
        <w:rPr/>
        <w:t>) abstention doctrine, a court has the perfect right to review a document related to FERC jurisdictional transactions, unless there are issues of national importance or issues within the FERC’s special area of expertise.  A party in court litigation faces a more serious risk that an unfiled document is unenforceable because it conflicts with another document that is on file, than if the court were to declare that the document is unenforceable simply because it is not on file.  The Master Agreement contains a covenant that parties will not raise as a defense to a contract action any inconsistency with tariff terms on file.  See, Article 10.8.</w:t>
      </w:r>
    </w:p>
  </w:footnote>
  <w:footnote w:id="124">
    <w:p>
      <w:pPr>
        <w:pStyle w:val="FootnoteText"/>
        <w:rPr/>
      </w:pPr>
      <w:r>
        <w:rPr>
          <w:rStyle w:val="FootnoteCharacters"/>
        </w:rPr>
        <w:footnoteRef/>
      </w:r>
      <w:r>
        <w:rPr/>
        <w:t xml:space="preserve"> </w:t>
      </w:r>
      <w:r>
        <w:rPr>
          <w:i/>
          <w:iCs/>
        </w:rPr>
        <w:t>See</w:t>
      </w:r>
      <w:r>
        <w:rPr/>
        <w:t xml:space="preserve"> </w:t>
      </w:r>
      <w:r>
        <w:rPr>
          <w:i/>
          <w:iCs/>
        </w:rPr>
        <w:t>Enron Power Marketing, Inc.</w:t>
      </w:r>
      <w:r>
        <w:rPr/>
        <w:t>, 65 FERC ¶61,305 (1993).</w:t>
      </w:r>
    </w:p>
  </w:footnote>
  <w:footnote w:id="125">
    <w:p>
      <w:pPr>
        <w:pStyle w:val="FootnoteText"/>
        <w:rPr/>
      </w:pPr>
      <w:r>
        <w:rPr>
          <w:rStyle w:val="FootnoteCharacters"/>
        </w:rPr>
        <w:footnoteRef/>
      </w:r>
      <w:r>
        <w:rPr/>
        <w:t xml:space="preserve"> </w:t>
      </w:r>
      <w:r>
        <w:rPr>
          <w:i/>
          <w:iCs/>
        </w:rPr>
        <w:t>Southern Company Services, Inc.</w:t>
      </w:r>
      <w:r>
        <w:rPr/>
        <w:t xml:space="preserve">, 87 FERC ¶61,214 (1999). </w:t>
      </w:r>
    </w:p>
  </w:footnote>
  <w:footnote w:id="126">
    <w:p>
      <w:pPr>
        <w:pStyle w:val="FootnoteText"/>
        <w:rPr/>
      </w:pPr>
      <w:r>
        <w:rPr>
          <w:rStyle w:val="FootnoteCharacters"/>
        </w:rPr>
        <w:footnoteRef/>
      </w:r>
      <w:r>
        <w:rPr/>
        <w:t xml:space="preserve"> </w:t>
      </w:r>
      <w:r>
        <w:rPr>
          <w:i/>
          <w:iCs/>
        </w:rPr>
        <w:t>See</w:t>
      </w:r>
      <w:r>
        <w:rPr/>
        <w:t xml:space="preserve"> Donald F. Santa, Jr., </w:t>
      </w:r>
      <w:r>
        <w:rPr>
          <w:i/>
          <w:iCs/>
        </w:rPr>
        <w:t>Who Needs What, and Why?  Reporting and Disclosure Obligations in Emerging Competitive Electricity Markets</w:t>
      </w:r>
      <w:r>
        <w:rPr/>
        <w:t>, 21 Energy LJ 1 (2000) (Discussing the need for regulators to reassess the information and reporting requirements imposed on the electric power industry).</w:t>
      </w:r>
    </w:p>
  </w:footnote>
  <w:footnote w:id="127">
    <w:p>
      <w:pPr>
        <w:pStyle w:val="FootnoteText"/>
        <w:rPr/>
      </w:pPr>
      <w:r>
        <w:rPr>
          <w:rStyle w:val="FootnoteCharacters"/>
        </w:rPr>
        <w:footnoteRef/>
      </w:r>
      <w:r>
        <w:rPr/>
        <w:t xml:space="preserve"> </w:t>
      </w:r>
      <w:r>
        <w:rPr/>
        <w:t xml:space="preserve">84 FERC ¶61,199, </w:t>
      </w:r>
      <w:r>
        <w:rPr>
          <w:u w:val="single"/>
        </w:rPr>
        <w:t>reh’g denied</w:t>
      </w:r>
      <w:r>
        <w:rPr/>
        <w:t xml:space="preserve">, 86 FERC ¶61,131 (1999), appeal </w:t>
      </w:r>
      <w:r>
        <w:rPr>
          <w:u w:val="single"/>
        </w:rPr>
        <w:t>sub</w:t>
      </w:r>
      <w:r>
        <w:rPr/>
        <w:t xml:space="preserve"> </w:t>
      </w:r>
      <w:r>
        <w:rPr>
          <w:u w:val="single"/>
        </w:rPr>
        <w:t>nom</w:t>
      </w:r>
      <w:r>
        <w:rPr/>
        <w:t xml:space="preserve">, </w:t>
      </w:r>
      <w:r>
        <w:rPr>
          <w:i/>
          <w:iCs/>
        </w:rPr>
        <w:t>Power Co. of America, et al. v. FERC</w:t>
      </w:r>
      <w:r>
        <w:rPr/>
        <w:t xml:space="preserve">, D.C. Cir. Case Nos. 99-1263, 99-1333. The transactions at issue in this proceeding involved the Power Company of America which had declared bankruptcy and defaulted on its obligations to several parties.  See note 7 </w:t>
      </w:r>
      <w:r>
        <w:rPr>
          <w:i/>
          <w:iCs/>
        </w:rPr>
        <w:t>supra</w:t>
      </w:r>
      <w:r>
        <w:rPr/>
        <w:t xml:space="preserve">.  The FERC specifically overturned its policy that prior notice was required to terminate contracts that were not on file.  See </w:t>
      </w:r>
      <w:r>
        <w:rPr>
          <w:i/>
          <w:iCs/>
        </w:rPr>
        <w:t>Portland General Electric Co.</w:t>
      </w:r>
      <w:r>
        <w:rPr/>
        <w:t xml:space="preserve"> 75 FERC ¶61,310, </w:t>
      </w:r>
      <w:r>
        <w:rPr>
          <w:u w:val="single"/>
        </w:rPr>
        <w:t>reh’g denied</w:t>
      </w:r>
      <w:r>
        <w:rPr/>
        <w:t>, 77 FERC ¶61,171 (1996).</w:t>
      </w:r>
    </w:p>
  </w:footnote>
  <w:footnote w:id="128">
    <w:p>
      <w:pPr>
        <w:pStyle w:val="FootnoteText"/>
        <w:rPr/>
      </w:pPr>
      <w:r>
        <w:rPr>
          <w:rStyle w:val="FootnoteCharacters"/>
        </w:rPr>
        <w:footnoteRef/>
      </w:r>
      <w:r>
        <w:rPr>
          <w:i/>
          <w:iCs/>
        </w:rPr>
        <w:t>Toledo Edison Company</w:t>
      </w:r>
      <w:r>
        <w:rPr/>
        <w:t xml:space="preserve">, 79 FERC ¶ 61,088 at 61,420 (1997). </w:t>
      </w:r>
    </w:p>
  </w:footnote>
  <w:footnote w:id="129">
    <w:p>
      <w:pPr>
        <w:pStyle w:val="FootnoteText"/>
        <w:rPr/>
      </w:pPr>
      <w:r>
        <w:rPr>
          <w:rStyle w:val="FootnoteCharacters"/>
        </w:rPr>
        <w:footnoteRef/>
      </w:r>
      <w:r>
        <w:rPr/>
        <w:t xml:space="preserve">These documents were prepared by Antonia Frost and Thomas Blackburn of the law firm of Bruder, Gentile &amp; Marcoux, L.L.P. who worked with a coalition of utilities involved with the Master Contract working group.   The Model Tariff and Service Agreement may be obtained at EEI’s website.  See Note 22 </w:t>
      </w:r>
      <w:r>
        <w:rPr>
          <w:i/>
        </w:rPr>
        <w:t>supra</w:t>
      </w:r>
      <w:r>
        <w:rPr/>
        <w:t>.</w:t>
      </w:r>
    </w:p>
  </w:footnote>
  <w:footnote w:id="130">
    <w:p>
      <w:pPr>
        <w:pStyle w:val="FootnoteText"/>
        <w:rPr/>
      </w:pPr>
      <w:r>
        <w:rPr>
          <w:rStyle w:val="FootnoteCharacters"/>
        </w:rPr>
        <w:footnoteRef/>
      </w:r>
      <w:r>
        <w:rPr/>
        <w:t xml:space="preserve"> </w:t>
      </w:r>
      <w:r>
        <w:rPr/>
        <w:t>Many utilities have begun using the Master Agreement under their existing market-based tariff structures.  In addition, the following EEI-member utilities have received FERC approval to implement the Master Agreement using the new document structure described above: Northern Illinois Public Service Company, Docket No. ER00-2173-000; Consumers Energy Company, Docket No. ER00-2299-000; and Virginia Electric and Power Company, Docket No. ER00-2839-000.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style>
  <w:style w:type="paragraph" w:styleId="Heading2">
    <w:name w:val="heading 2"/>
    <w:basedOn w:val="Normal"/>
    <w:next w:val="Normal"/>
    <w:qFormat/>
    <w:pPr>
      <w:keepNext w:val="true"/>
      <w:numPr>
        <w:ilvl w:val="1"/>
        <w:numId w:val="1"/>
      </w:numPr>
      <w:outlineLvl w:val="1"/>
    </w:pPr>
    <w:rPr>
      <w:i/>
    </w:rPr>
  </w:style>
  <w:style w:type="paragraph" w:styleId="Heading3">
    <w:name w:val="heading 3"/>
    <w:basedOn w:val="Normal"/>
    <w:next w:val="Normal"/>
    <w:qFormat/>
    <w:pPr>
      <w:keepNext w:val="true"/>
      <w:numPr>
        <w:ilvl w:val="2"/>
        <w:numId w:val="1"/>
      </w:numPr>
      <w:spacing w:before="240" w:after="60"/>
      <w:ind w:hanging="0" w:start="720" w:end="0"/>
      <w:outlineLvl w:val="2"/>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rFonts w:ascii="Times New Roman" w:hAnsi="Times New Roman" w:cs="Times New Roman"/>
      <w:sz w:val="24"/>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color w:val="000000"/>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8"/>
    </w:rPr>
  </w:style>
  <w:style w:type="paragraph" w:styleId="FootnoteText">
    <w:name w:val="footnote text"/>
    <w:basedOn w:val="Normal"/>
    <w:pPr/>
    <w:rPr>
      <w:sz w:val="20"/>
    </w:rPr>
  </w:style>
  <w:style w:type="paragraph" w:styleId="EndnoteText">
    <w:name w:val="endnote text"/>
    <w:basedOn w:val="Normal"/>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color w:val="000000"/>
      <w:szCs w:val="24"/>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pageBreakBefore/>
      <w:ind w:hanging="0" w:start="475" w:end="0"/>
    </w:pPr>
    <w:rPr>
      <w:b/>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
    <w:name w:val="Body Text Indent"/>
    <w:basedOn w:val="Normal"/>
    <w:pPr>
      <w:ind w:firstLine="720" w:start="0" w:end="0"/>
    </w:pPr>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ei.org/issues/contract" TargetMode="External"/><Relationship Id="rId2" Type="http://schemas.openxmlformats.org/officeDocument/2006/relationships/hyperlink" Target="http://www.isda.org/" TargetMode="External"/><Relationship Id="rId3" Type="http://schemas.openxmlformats.org/officeDocument/2006/relationships/hyperlink" Target="http://www.gisb.org/"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2000-09-11T17:57:00Z</dcterms:created>
  <dc:creator>Andrew S. Katz</dc:creator>
  <dc:description/>
  <dc:language>en-CA</dc:language>
  <cp:lastModifiedBy>Andrew S. Katz</cp:lastModifiedBy>
  <cp:lastPrinted>2000-09-11T15:57:00Z</cp:lastPrinted>
  <dcterms:modified xsi:type="dcterms:W3CDTF">2000-09-13T16:25:00Z</dcterms:modified>
  <cp:revision>4</cp:revision>
  <dc:subject/>
  <dc:title>EEI SPONSORS STANDARDIZED MASTER CONTRACT</dc:title>
</cp:coreProperties>
</file>