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b/>
          <w:i/>
          <w:i/>
          <w:sz w:val="16"/>
        </w:rPr>
      </w:pPr>
      <w:r>
        <w:rPr>
          <w:b/>
          <w:bCs/>
        </w:rPr>
        <w:t xml:space="preserve">                                                                                            </w:t>
      </w:r>
      <w:r>
        <w:rPr>
          <w:b/>
          <w:i/>
          <w:sz w:val="16"/>
        </w:rPr>
        <w:drawing>
          <wp:inline distT="0" distB="0" distL="0" distR="0">
            <wp:extent cx="1944370"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944370" cy="285750"/>
                    </a:xfrm>
                    <a:prstGeom prst="rect">
                      <a:avLst/>
                    </a:prstGeom>
                    <a:noFill/>
                  </pic:spPr>
                </pic:pic>
              </a:graphicData>
            </a:graphic>
          </wp:inline>
        </w:drawing>
      </w:r>
    </w:p>
    <w:p>
      <w:pPr>
        <w:pStyle w:val="Normal"/>
        <w:tabs>
          <w:tab w:val="clear" w:pos="720"/>
          <w:tab w:val="left" w:pos="0" w:leader="none"/>
        </w:tabs>
        <w:jc w:val="center"/>
        <w:rPr>
          <w:b/>
          <w:i/>
          <w:i/>
          <w:sz w:val="16"/>
        </w:rPr>
      </w:pPr>
      <w:r>
        <w:rPr>
          <w:b/>
          <w:i/>
          <w:sz w:val="16"/>
        </w:rPr>
        <w:t xml:space="preserve">                                                                                                                                              </w:t>
      </w:r>
      <w:r>
        <w:rPr>
          <w:b/>
          <w:i/>
          <w:sz w:val="16"/>
        </w:rPr>
        <w:t>A California Limited Liability Company</w:t>
      </w:r>
    </w:p>
    <w:p>
      <w:pPr>
        <w:pStyle w:val="Normal"/>
        <w:tabs>
          <w:tab w:val="clear" w:pos="720"/>
          <w:tab w:val="left" w:pos="0" w:leader="none"/>
        </w:tabs>
        <w:jc w:val="center"/>
        <w:rPr>
          <w:b/>
          <w:i/>
          <w:i/>
          <w:sz w:val="16"/>
        </w:rPr>
      </w:pPr>
      <w:r>
        <w:rPr>
          <w:rFonts w:eastAsia="Lucida Sans" w:cs="Lucida Sans" w:ascii="Lucida Sans" w:hAnsi="Lucida Sans"/>
          <w:b/>
          <w:i/>
          <w:sz w:val="16"/>
        </w:rPr>
        <w:t xml:space="preserve">                                </w:t>
      </w:r>
      <w:r>
        <w:rPr>
          <w:rFonts w:cs="Lucida Sans" w:ascii="Lucida Sans" w:hAnsi="Lucida Sans"/>
          <w:b/>
          <w:i/>
          <w:sz w:val="16"/>
        </w:rPr>
        <w:t xml:space="preserve">For subscription information, please call (916) 797-3106, or e-mail </w:t>
      </w:r>
      <w:hyperlink r:id="rId3">
        <w:r>
          <w:rPr>
            <w:rStyle w:val="Hyperlink"/>
            <w:rFonts w:cs="Lucida Sans" w:ascii="Lucida Sans" w:hAnsi="Lucida Sans"/>
            <w:b/>
            <w:i/>
            <w:sz w:val="16"/>
          </w:rPr>
          <w:t>Schneider@rsvl.net</w:t>
        </w:r>
      </w:hyperlink>
    </w:p>
    <w:p>
      <w:pPr>
        <w:pStyle w:val="Heading1"/>
        <w:pBdr>
          <w:top w:val="single" w:sz="12" w:space="1" w:color="000000"/>
          <w:left w:val="single" w:sz="12" w:space="4" w:color="000000"/>
          <w:bottom w:val="single" w:sz="12" w:space="1" w:color="000000"/>
          <w:right w:val="single" w:sz="12" w:space="4" w:color="000000"/>
        </w:pBdr>
        <w:ind w:hanging="0" w:start="0"/>
        <w:jc w:val="center"/>
        <w:rPr>
          <w:rFonts w:ascii="Times New Roman" w:hAnsi="Times New Roman" w:cs="Times New Roman"/>
          <w:imprint/>
          <w:color w:val="0000FF"/>
          <w:sz w:val="52"/>
        </w:rPr>
      </w:pPr>
      <w:r>
        <w:rPr>
          <w:rFonts w:cs="Times New Roman" w:ascii="Times New Roman" w:hAnsi="Times New Roman"/>
          <w:i/>
          <w:iCs/>
          <w:imprint/>
          <w:color w:val="0000FF"/>
          <w:sz w:val="56"/>
        </w:rPr>
        <w:t>KNOW THE</w:t>
      </w:r>
      <w:r>
        <w:rPr>
          <w:rFonts w:cs="Times New Roman" w:ascii="Times New Roman" w:hAnsi="Times New Roman"/>
          <w:imprint/>
          <w:color w:val="0000FF"/>
          <w:sz w:val="56"/>
        </w:rPr>
        <w:t xml:space="preserve"> </w:t>
      </w:r>
      <w:r>
        <w:rPr>
          <w:rFonts w:cs="Times New Roman" w:ascii="Times New Roman" w:hAnsi="Times New Roman"/>
          <w:i/>
          <w:iCs/>
          <w:imprint/>
          <w:color w:val="0000FF"/>
          <w:sz w:val="56"/>
        </w:rPr>
        <w:t xml:space="preserve">ISO </w:t>
      </w:r>
      <w:r>
        <w:rPr>
          <w:rFonts w:cs="Times New Roman" w:ascii="Times New Roman" w:hAnsi="Times New Roman"/>
          <w:imprint/>
          <w:color w:val="0000FF"/>
          <w:sz w:val="56"/>
        </w:rPr>
        <w:t>UPDATE</w:t>
      </w:r>
    </w:p>
    <w:p>
      <w:pPr>
        <w:pStyle w:val="Heading1"/>
        <w:pBdr>
          <w:top w:val="nil"/>
          <w:left w:val="nil"/>
          <w:bottom w:val="nil"/>
          <w:right w:val="nil"/>
        </w:pBdr>
        <w:shd w:fill="auto" w:val="clear"/>
        <w:ind w:hanging="0" w:start="0"/>
        <w:jc w:val="center"/>
        <w:rPr>
          <w:rFonts w:ascii="Belwe Bd BT" w:hAnsi="Belwe Bd BT" w:cs="Belwe Bd BT"/>
          <w:b w:val="false"/>
          <w:bCs w:val="false"/>
        </w:rPr>
      </w:pPr>
      <w:r>
        <w:rPr>
          <w:rFonts w:cs="Belwe Bd BT" w:ascii="Belwe Bd BT" w:hAnsi="Belwe Bd BT"/>
          <w:b w:val="false"/>
          <w:bCs w:val="false"/>
        </w:rPr>
        <w:t xml:space="preserve">ISO Compliance Filing with FERC Final Order </w:t>
      </w:r>
    </w:p>
    <w:p>
      <w:pPr>
        <w:pStyle w:val="Heading1"/>
        <w:pBdr>
          <w:top w:val="nil"/>
          <w:left w:val="nil"/>
          <w:bottom w:val="nil"/>
          <w:right w:val="nil"/>
        </w:pBdr>
        <w:shd w:fill="auto" w:val="clear"/>
        <w:ind w:hanging="0" w:start="0"/>
        <w:jc w:val="center"/>
        <w:rPr>
          <w:rFonts w:ascii="Belwe Bd BT" w:hAnsi="Belwe Bd BT" w:cs="Belwe Bd BT"/>
          <w:b w:val="false"/>
          <w:bCs w:val="false"/>
        </w:rPr>
      </w:pPr>
      <w:r>
        <w:rPr>
          <w:rFonts w:cs="Belwe Bd BT" w:ascii="Belwe Bd BT" w:hAnsi="Belwe Bd BT"/>
          <w:b w:val="false"/>
          <w:bCs w:val="false"/>
        </w:rPr>
        <w:t>In Docket No. EL00-95-000 (and related dockets)</w:t>
      </w:r>
    </w:p>
    <w:p>
      <w:pPr>
        <w:pStyle w:val="Normal"/>
        <w:jc w:val="center"/>
        <w:rPr/>
      </w:pPr>
      <w:r>
        <w:rPr>
          <w:rFonts w:cs="Technical" w:ascii="Technical" w:hAnsi="Technical"/>
          <w:b/>
          <w:bCs/>
        </w:rPr>
        <w:t>January 2</w:t>
      </w:r>
      <w:r>
        <w:rPr>
          <w:rFonts w:cs="Technical" w:ascii="Technical" w:hAnsi="Technical"/>
          <w:b/>
          <w:bCs/>
          <w:vertAlign w:val="superscript"/>
        </w:rPr>
        <w:t>nd</w:t>
      </w:r>
      <w:r>
        <w:rPr>
          <w:rFonts w:cs="Technical" w:ascii="Technical" w:hAnsi="Technical"/>
          <w:b/>
          <w:bCs/>
        </w:rPr>
        <w:t>, 2001</w:t>
      </w:r>
    </w:p>
    <w:p>
      <w:pPr>
        <w:pStyle w:val="Normal"/>
        <w:pBdr>
          <w:bottom w:val="double" w:sz="6" w:space="1" w:color="000000"/>
        </w:pBdr>
        <w:jc w:val="center"/>
        <w:rPr>
          <w:rFonts w:ascii="Technical" w:hAnsi="Technical" w:cs="Technical"/>
          <w:b/>
          <w:bCs/>
          <w:sz w:val="8"/>
        </w:rPr>
      </w:pPr>
      <w:r>
        <w:rPr>
          <w:rFonts w:cs="Technical" w:ascii="Technical" w:hAnsi="Technical"/>
          <w:b/>
          <w:bCs/>
          <w:sz w:val="8"/>
        </w:rPr>
      </w:r>
    </w:p>
    <w:p>
      <w:pPr>
        <w:pStyle w:val="Normal"/>
        <w:rPr>
          <w:rFonts w:ascii="Technical" w:hAnsi="Technical" w:cs="Technical"/>
          <w:b/>
          <w:bCs/>
          <w:sz w:val="8"/>
        </w:rPr>
      </w:pPr>
      <w:r>
        <w:rPr>
          <w:rFonts w:cs="Technical" w:ascii="Technical" w:hAnsi="Technical"/>
          <w:b/>
          <w:bCs/>
          <w:sz w:val="8"/>
        </w:rPr>
      </w:r>
    </w:p>
    <w:p>
      <w:pPr>
        <w:pStyle w:val="Normal"/>
        <w:rPr/>
      </w:pPr>
      <w:r>
        <w:rPr/>
        <w:t>This report covers the ISO compliance filing required by the December 15</w:t>
      </w:r>
      <w:r>
        <w:rPr>
          <w:vertAlign w:val="superscript"/>
        </w:rPr>
        <w:t>th</w:t>
      </w:r>
      <w:r>
        <w:rPr/>
        <w:t xml:space="preserve"> FERC order on ISO/PX restructuring (Docket No. EL00-95-000, et al) (“Order”).  You can find the filing on the ISO Web site at </w:t>
      </w:r>
      <w:hyperlink r:id="rId4">
        <w:r>
          <w:rPr>
            <w:rStyle w:val="Hyperlink"/>
          </w:rPr>
          <w:t>http://www.caiso.com/pubinfo/FERC/filings/</w:t>
        </w:r>
      </w:hyperlink>
      <w:r>
        <w:rPr/>
        <w:t xml:space="preserve">. </w:t>
      </w:r>
    </w:p>
    <w:p>
      <w:pPr>
        <w:pStyle w:val="Normal"/>
        <w:rPr>
          <w:sz w:val="16"/>
        </w:rPr>
      </w:pPr>
      <w:r>
        <w:rPr>
          <w:sz w:val="16"/>
        </w:rPr>
      </w:r>
    </w:p>
    <w:p>
      <w:pPr>
        <w:pStyle w:val="Normal"/>
        <w:rPr/>
      </w:pPr>
      <w:r>
        <w:rPr/>
        <w:t>Listed below are the elements in the Order that might logically be included in an ISO compliance filing, the FERC directives in those areas, and the treatment in the filing.  In other words, we include, not only the specific items in the filing, but a few that one might expect to see there but which were not addressed.</w:t>
      </w:r>
    </w:p>
    <w:p>
      <w:pPr>
        <w:pStyle w:val="Footer"/>
        <w:tabs>
          <w:tab w:val="clear" w:pos="4320"/>
          <w:tab w:val="clear" w:pos="8640"/>
        </w:tabs>
        <w:rPr/>
      </w:pPr>
      <w:r>
        <w:rPr/>
      </w:r>
    </w:p>
    <w:p>
      <w:pPr>
        <w:pStyle w:val="Heading1"/>
        <w:ind w:hanging="0" w:start="0"/>
        <w:rPr/>
      </w:pPr>
      <w:r>
        <w:rPr/>
        <w:t>“</w:t>
      </w:r>
      <w:r>
        <w:rPr/>
        <w:t xml:space="preserve">Load” under-scheduling penalty </w:t>
      </w:r>
    </w:p>
    <w:p>
      <w:pPr>
        <w:pStyle w:val="Normal"/>
        <w:autoSpaceDE w:val="false"/>
        <w:ind w:start="360" w:end="0"/>
        <w:rPr>
          <w:rFonts w:ascii="BookmanITC Lt BT" w:hAnsi="BookmanITC Lt BT" w:cs="BookmanITC Lt BT"/>
          <w:b/>
          <w:bCs/>
          <w:sz w:val="8"/>
          <w:szCs w:val="26"/>
          <w:u w:val="single"/>
        </w:rPr>
      </w:pPr>
      <w:r>
        <w:rPr>
          <w:rFonts w:cs="BookmanITC Lt BT" w:ascii="BookmanITC Lt BT" w:hAnsi="BookmanITC Lt BT"/>
          <w:b/>
          <w:bCs/>
          <w:sz w:val="8"/>
          <w:szCs w:val="26"/>
          <w:u w:val="single"/>
        </w:rPr>
      </w:r>
    </w:p>
    <w:p>
      <w:pPr>
        <w:pStyle w:val="Normal"/>
        <w:autoSpaceDE w:val="false"/>
        <w:ind w:hanging="360" w:start="360" w:end="0"/>
        <w:rPr>
          <w:rFonts w:ascii="BookmanITC Lt BT" w:hAnsi="BookmanITC Lt BT" w:cs="BookmanITC Lt BT"/>
          <w:b/>
          <w:bCs/>
          <w:szCs w:val="26"/>
          <w:u w:val="single"/>
        </w:rPr>
      </w:pPr>
      <w:r>
        <w:rPr>
          <w:rFonts w:cs="BookmanITC Lt BT" w:ascii="BookmanITC Lt BT" w:hAnsi="BookmanITC Lt BT"/>
          <w:b/>
          <w:bCs/>
          <w:szCs w:val="26"/>
          <w:u w:val="single"/>
        </w:rPr>
        <w:t>FERC Order</w:t>
      </w:r>
    </w:p>
    <w:p>
      <w:pPr>
        <w:pStyle w:val="Normal"/>
        <w:numPr>
          <w:ilvl w:val="0"/>
          <w:numId w:val="4"/>
        </w:numPr>
        <w:rPr>
          <w:b/>
          <w:bCs/>
          <w:i/>
          <w:i/>
          <w:iCs/>
        </w:rPr>
      </w:pPr>
      <w:r>
        <w:rPr>
          <w:rFonts w:cs="Lucida Sans" w:ascii="Lucida Sans" w:hAnsi="Lucida Sans"/>
          <w:b/>
          <w:bCs/>
          <w:szCs w:val="26"/>
          <w:u w:val="single"/>
        </w:rPr>
        <w:t>Penalty basis:</w:t>
      </w:r>
      <w:r>
        <w:rPr>
          <w:szCs w:val="26"/>
        </w:rPr>
        <w:t xml:space="preserve">  Load deviations from schedules greater than </w:t>
      </w:r>
      <w:r>
        <w:rPr/>
        <w:t xml:space="preserve">the higher of 5 percent of requirements or 10 MW </w:t>
      </w:r>
      <w:r>
        <w:rPr>
          <w:b/>
          <w:bCs/>
          <w:i/>
          <w:iCs/>
        </w:rPr>
        <w:t>(i.e., the deviation band is 10 MW for entities with 200 MW of load or less, and 5 percent for those with more).</w:t>
      </w:r>
    </w:p>
    <w:p>
      <w:pPr>
        <w:pStyle w:val="Normal"/>
        <w:tabs>
          <w:tab w:val="left" w:pos="720" w:leader="none"/>
        </w:tabs>
        <w:ind w:hanging="360" w:start="720" w:end="0"/>
        <w:rPr>
          <w:sz w:val="12"/>
        </w:rPr>
      </w:pPr>
      <w:r>
        <w:rPr>
          <w:b/>
          <w:bCs/>
          <w:i/>
          <w:iCs/>
        </w:rPr>
        <w:t xml:space="preserve"> </w:t>
      </w:r>
    </w:p>
    <w:p>
      <w:pPr>
        <w:pStyle w:val="Normal"/>
        <w:numPr>
          <w:ilvl w:val="0"/>
          <w:numId w:val="4"/>
        </w:numPr>
        <w:autoSpaceDE w:val="false"/>
        <w:rPr>
          <w:szCs w:val="26"/>
        </w:rPr>
      </w:pPr>
      <w:r>
        <w:rPr>
          <w:rFonts w:cs="Lucida Sans" w:ascii="Lucida Sans" w:hAnsi="Lucida Sans"/>
          <w:b/>
          <w:bCs/>
          <w:u w:val="single"/>
        </w:rPr>
        <w:t>Penalty charge for deviations above that amount:</w:t>
      </w:r>
      <w:r>
        <w:rPr/>
        <w:t xml:space="preserve">  The lesser of twice the ISO’s real-time Imbalance Energy cost or the imbalance cost plus $100/MWh.</w:t>
      </w:r>
    </w:p>
    <w:p>
      <w:pPr>
        <w:pStyle w:val="Normal"/>
        <w:tabs>
          <w:tab w:val="left" w:pos="720" w:leader="none"/>
        </w:tabs>
        <w:autoSpaceDE w:val="false"/>
        <w:ind w:hanging="360" w:start="720" w:end="0"/>
        <w:rPr>
          <w:sz w:val="12"/>
          <w:szCs w:val="26"/>
        </w:rPr>
      </w:pPr>
      <w:r>
        <w:rPr>
          <w:sz w:val="12"/>
          <w:szCs w:val="26"/>
        </w:rPr>
      </w:r>
    </w:p>
    <w:p>
      <w:pPr>
        <w:pStyle w:val="Normal"/>
        <w:numPr>
          <w:ilvl w:val="0"/>
          <w:numId w:val="4"/>
        </w:numPr>
        <w:rPr/>
      </w:pPr>
      <w:r>
        <w:rPr>
          <w:rFonts w:cs="Lucida Sans" w:ascii="Lucida Sans" w:hAnsi="Lucida Sans"/>
          <w:b/>
          <w:bCs/>
          <w:u w:val="single"/>
        </w:rPr>
        <w:t>Penalty revenues (above costs) distribution:</w:t>
      </w:r>
      <w:r>
        <w:rPr/>
        <w:t xml:space="preserve">  At the “end of the billing period,” will be distributed to “loads that scheduled accurately and did not exceed the 5% deviation band for that hour.”</w:t>
      </w:r>
    </w:p>
    <w:p>
      <w:pPr>
        <w:pStyle w:val="Normal"/>
        <w:rPr>
          <w:sz w:val="16"/>
        </w:rPr>
      </w:pPr>
      <w:r>
        <w:rPr>
          <w:sz w:val="16"/>
        </w:rPr>
      </w:r>
    </w:p>
    <w:p>
      <w:pPr>
        <w:pStyle w:val="Heading3"/>
        <w:ind w:hanging="0" w:start="0"/>
        <w:rPr>
          <w:szCs w:val="20"/>
        </w:rPr>
      </w:pPr>
      <w:r>
        <w:rPr>
          <w:szCs w:val="20"/>
        </w:rPr>
        <w:t>ISO Compliance Filing</w:t>
      </w:r>
    </w:p>
    <w:p>
      <w:pPr>
        <w:pStyle w:val="Normal"/>
        <w:rPr/>
      </w:pPr>
      <w:r>
        <w:rPr/>
        <w:t xml:space="preserve">The filing adheres to the three explicit provisions above, with the additional detail that the “lesser of” penalty charge cannot be negative.  </w:t>
      </w:r>
    </w:p>
    <w:p>
      <w:pPr>
        <w:pStyle w:val="Footer"/>
        <w:tabs>
          <w:tab w:val="clear" w:pos="4320"/>
          <w:tab w:val="clear" w:pos="8640"/>
        </w:tabs>
        <w:rPr/>
      </w:pPr>
      <w:r>
        <w:rPr/>
      </w:r>
    </w:p>
    <w:p>
      <w:pPr>
        <w:pStyle w:val="Heading1"/>
        <w:ind w:hanging="0" w:start="0"/>
        <w:rPr/>
      </w:pPr>
      <w:r>
        <w:rPr/>
        <w:t xml:space="preserve">Reformulation of ISO Board </w:t>
      </w:r>
    </w:p>
    <w:p>
      <w:pPr>
        <w:pStyle w:val="Normal"/>
        <w:rPr>
          <w:sz w:val="8"/>
        </w:rPr>
      </w:pPr>
      <w:r>
        <w:rPr>
          <w:sz w:val="8"/>
        </w:rPr>
      </w:r>
    </w:p>
    <w:p>
      <w:pPr>
        <w:pStyle w:val="Normal"/>
        <w:autoSpaceDE w:val="false"/>
        <w:ind w:hanging="360" w:start="360" w:end="0"/>
        <w:rPr/>
      </w:pPr>
      <w:r>
        <w:rPr>
          <w:rFonts w:cs="BookmanITC Lt BT" w:ascii="BookmanITC Lt BT" w:hAnsi="BookmanITC Lt BT"/>
          <w:b/>
          <w:bCs/>
          <w:szCs w:val="26"/>
          <w:u w:val="single"/>
        </w:rPr>
        <w:t>FERC Order</w:t>
      </w:r>
      <w:r>
        <w:rPr>
          <w:rFonts w:cs="BookmanITC Lt BT" w:ascii="BookmanITC Lt BT" w:hAnsi="BookmanITC Lt BT"/>
          <w:b/>
          <w:bCs/>
          <w:szCs w:val="26"/>
        </w:rPr>
        <w:t xml:space="preserve">  </w:t>
      </w:r>
    </w:p>
    <w:p>
      <w:pPr>
        <w:pStyle w:val="Normal"/>
        <w:numPr>
          <w:ilvl w:val="0"/>
          <w:numId w:val="4"/>
        </w:numPr>
        <w:autoSpaceDE w:val="false"/>
        <w:rPr>
          <w:szCs w:val="26"/>
        </w:rPr>
      </w:pPr>
      <w:r>
        <w:rPr>
          <w:rFonts w:cs="Lucida Sans" w:ascii="Lucida Sans" w:hAnsi="Lucida Sans"/>
          <w:b/>
          <w:bCs/>
          <w:szCs w:val="26"/>
          <w:u w:val="single"/>
        </w:rPr>
        <w:t>Independent, non-stakeholder ISO Governing Board:</w:t>
      </w:r>
      <w:r>
        <w:rPr>
          <w:szCs w:val="26"/>
        </w:rPr>
        <w:t xml:space="preserve">  To be chosen within 90 days after the Order.  The new Board will:</w:t>
      </w:r>
    </w:p>
    <w:p>
      <w:pPr>
        <w:pStyle w:val="Normal"/>
        <w:autoSpaceDE w:val="false"/>
        <w:ind w:start="360" w:end="0"/>
        <w:rPr>
          <w:sz w:val="8"/>
          <w:szCs w:val="26"/>
        </w:rPr>
      </w:pPr>
      <w:r>
        <w:rPr>
          <w:sz w:val="8"/>
          <w:szCs w:val="26"/>
        </w:rPr>
      </w:r>
    </w:p>
    <w:p>
      <w:pPr>
        <w:pStyle w:val="Normal"/>
        <w:numPr>
          <w:ilvl w:val="1"/>
          <w:numId w:val="4"/>
        </w:numPr>
        <w:tabs>
          <w:tab w:val="clear" w:pos="720"/>
          <w:tab w:val="left" w:pos="1260" w:leader="none"/>
        </w:tabs>
        <w:autoSpaceDE w:val="false"/>
        <w:ind w:hanging="360" w:start="1260" w:end="0"/>
        <w:rPr>
          <w:szCs w:val="26"/>
        </w:rPr>
      </w:pPr>
      <w:r>
        <w:rPr>
          <w:szCs w:val="26"/>
        </w:rPr>
        <w:t>Have 7 voting members, with the President or CEO as one of the members;</w:t>
      </w:r>
    </w:p>
    <w:p>
      <w:pPr>
        <w:pStyle w:val="Normal"/>
        <w:autoSpaceDE w:val="false"/>
        <w:rPr>
          <w:sz w:val="8"/>
          <w:szCs w:val="26"/>
        </w:rPr>
      </w:pPr>
      <w:r>
        <w:rPr>
          <w:sz w:val="8"/>
          <w:szCs w:val="26"/>
        </w:rPr>
      </w:r>
    </w:p>
    <w:p>
      <w:pPr>
        <w:pStyle w:val="Normal"/>
        <w:numPr>
          <w:ilvl w:val="1"/>
          <w:numId w:val="4"/>
        </w:numPr>
        <w:tabs>
          <w:tab w:val="clear" w:pos="720"/>
          <w:tab w:val="left" w:pos="1260" w:leader="none"/>
        </w:tabs>
        <w:autoSpaceDE w:val="false"/>
        <w:ind w:hanging="360" w:start="1260" w:end="0"/>
        <w:rPr>
          <w:szCs w:val="26"/>
        </w:rPr>
      </w:pPr>
      <w:r>
        <w:rPr>
          <w:szCs w:val="26"/>
        </w:rPr>
        <w:t>Be selected by the current ISO Board;  and</w:t>
      </w:r>
    </w:p>
    <w:p>
      <w:pPr>
        <w:pStyle w:val="Normal"/>
        <w:autoSpaceDE w:val="false"/>
        <w:rPr>
          <w:sz w:val="8"/>
          <w:szCs w:val="26"/>
        </w:rPr>
      </w:pPr>
      <w:r>
        <w:rPr>
          <w:sz w:val="8"/>
          <w:szCs w:val="26"/>
        </w:rPr>
      </w:r>
    </w:p>
    <w:p>
      <w:pPr>
        <w:pStyle w:val="Normal"/>
        <w:numPr>
          <w:ilvl w:val="1"/>
          <w:numId w:val="4"/>
        </w:numPr>
        <w:tabs>
          <w:tab w:val="clear" w:pos="720"/>
          <w:tab w:val="left" w:pos="1260" w:leader="none"/>
        </w:tabs>
        <w:autoSpaceDE w:val="false"/>
        <w:ind w:hanging="360" w:start="1260" w:end="0"/>
        <w:rPr>
          <w:szCs w:val="26"/>
        </w:rPr>
      </w:pPr>
      <w:r>
        <w:rPr>
          <w:szCs w:val="26"/>
        </w:rPr>
        <w:t>Be selected solely from a list of candidates prepared by an “independent consultant” and should include members with:</w:t>
      </w:r>
    </w:p>
    <w:p>
      <w:pPr>
        <w:pStyle w:val="Normal"/>
        <w:autoSpaceDE w:val="false"/>
        <w:rPr>
          <w:sz w:val="8"/>
          <w:szCs w:val="26"/>
        </w:rPr>
      </w:pPr>
      <w:r>
        <w:rPr>
          <w:sz w:val="8"/>
          <w:szCs w:val="26"/>
        </w:rPr>
      </w:r>
    </w:p>
    <w:p>
      <w:pPr>
        <w:pStyle w:val="Normal"/>
        <w:numPr>
          <w:ilvl w:val="1"/>
          <w:numId w:val="3"/>
        </w:numPr>
        <w:tabs>
          <w:tab w:val="clear" w:pos="720"/>
          <w:tab w:val="left" w:pos="1800" w:leader="none"/>
        </w:tabs>
        <w:autoSpaceDE w:val="false"/>
        <w:ind w:hanging="720" w:start="2160" w:end="0"/>
        <w:rPr>
          <w:szCs w:val="26"/>
        </w:rPr>
      </w:pPr>
      <w:r>
        <w:rPr>
          <w:szCs w:val="26"/>
        </w:rPr>
        <w:t>Experience in corporate leadership, at the director or board level;</w:t>
      </w:r>
    </w:p>
    <w:p>
      <w:pPr>
        <w:pStyle w:val="Normal"/>
        <w:numPr>
          <w:ilvl w:val="1"/>
          <w:numId w:val="3"/>
        </w:numPr>
        <w:tabs>
          <w:tab w:val="clear" w:pos="720"/>
          <w:tab w:val="left" w:pos="1800" w:leader="none"/>
        </w:tabs>
        <w:autoSpaceDE w:val="false"/>
        <w:ind w:hanging="720" w:start="2160" w:end="0"/>
        <w:rPr>
          <w:szCs w:val="26"/>
        </w:rPr>
      </w:pPr>
      <w:r>
        <w:rPr>
          <w:szCs w:val="26"/>
        </w:rPr>
        <w:t>Professional expertise in finance, accounting, engineering, or utility law/regulation;  or</w:t>
      </w:r>
    </w:p>
    <w:p>
      <w:pPr>
        <w:pStyle w:val="Normal"/>
        <w:numPr>
          <w:ilvl w:val="1"/>
          <w:numId w:val="3"/>
        </w:numPr>
        <w:tabs>
          <w:tab w:val="clear" w:pos="720"/>
          <w:tab w:val="left" w:pos="1800" w:leader="none"/>
        </w:tabs>
        <w:autoSpaceDE w:val="false"/>
        <w:ind w:hanging="720" w:start="2160" w:end="0"/>
        <w:rPr>
          <w:szCs w:val="26"/>
        </w:rPr>
      </w:pPr>
      <w:r>
        <w:rPr>
          <w:szCs w:val="26"/>
        </w:rPr>
        <w:t>Experience with planning/operation of transmission systems.</w:t>
      </w:r>
    </w:p>
    <w:p>
      <w:pPr>
        <w:pStyle w:val="Footer"/>
        <w:tabs>
          <w:tab w:val="clear" w:pos="4320"/>
          <w:tab w:val="clear" w:pos="8640"/>
        </w:tabs>
        <w:autoSpaceDE w:val="false"/>
        <w:rPr>
          <w:sz w:val="16"/>
          <w:szCs w:val="26"/>
        </w:rPr>
      </w:pPr>
      <w:r>
        <w:rPr>
          <w:sz w:val="16"/>
          <w:szCs w:val="26"/>
        </w:rPr>
      </w:r>
    </w:p>
    <w:p>
      <w:pPr>
        <w:pStyle w:val="BodyTextIndent2"/>
        <w:rPr/>
      </w:pPr>
      <w:r>
        <w:rPr/>
        <w:t>If no agreement to the contrary is reached in discussions between FERC and California state officials, these provisions will be implemented.</w:t>
      </w:r>
    </w:p>
    <w:p>
      <w:pPr>
        <w:pStyle w:val="Normal"/>
        <w:autoSpaceDE w:val="false"/>
        <w:rPr>
          <w:sz w:val="16"/>
          <w:szCs w:val="26"/>
        </w:rPr>
      </w:pPr>
      <w:r>
        <w:rPr>
          <w:sz w:val="16"/>
          <w:szCs w:val="26"/>
        </w:rPr>
      </w:r>
    </w:p>
    <w:p>
      <w:pPr>
        <w:pStyle w:val="Normal"/>
        <w:numPr>
          <w:ilvl w:val="0"/>
          <w:numId w:val="4"/>
        </w:numPr>
        <w:autoSpaceDE w:val="false"/>
        <w:rPr>
          <w:szCs w:val="26"/>
        </w:rPr>
      </w:pPr>
      <w:r>
        <w:rPr>
          <w:rFonts w:cs="Lucida Sans" w:ascii="Lucida Sans" w:hAnsi="Lucida Sans"/>
          <w:b/>
          <w:bCs/>
          <w:szCs w:val="26"/>
          <w:u w:val="single"/>
        </w:rPr>
        <w:t>Termination of current Board role:</w:t>
      </w:r>
      <w:r>
        <w:rPr>
          <w:szCs w:val="26"/>
        </w:rPr>
        <w:t xml:space="preserve">  The existing ISO Board must turn its decision-making power and operating control functions over to ISO Management as of January 29</w:t>
      </w:r>
      <w:r>
        <w:rPr>
          <w:szCs w:val="26"/>
          <w:vertAlign w:val="superscript"/>
        </w:rPr>
        <w:t>th</w:t>
      </w:r>
      <w:r>
        <w:rPr>
          <w:szCs w:val="26"/>
        </w:rPr>
        <w:t>, 2001 and assume an advisory-only role until the sooner of seating of a new Board or April 27</w:t>
      </w:r>
      <w:r>
        <w:rPr>
          <w:szCs w:val="26"/>
          <w:vertAlign w:val="superscript"/>
        </w:rPr>
        <w:t>th</w:t>
      </w:r>
      <w:r>
        <w:rPr>
          <w:szCs w:val="26"/>
        </w:rPr>
        <w:t>. Existing Board committees may continue by reporting to Management.</w:t>
      </w:r>
    </w:p>
    <w:p>
      <w:pPr>
        <w:pStyle w:val="Normal"/>
        <w:autoSpaceDE w:val="false"/>
        <w:rPr>
          <w:sz w:val="16"/>
          <w:szCs w:val="26"/>
        </w:rPr>
      </w:pPr>
      <w:r>
        <w:rPr>
          <w:sz w:val="16"/>
          <w:szCs w:val="26"/>
        </w:rPr>
      </w:r>
    </w:p>
    <w:p>
      <w:pPr>
        <w:pStyle w:val="Normal"/>
        <w:rPr/>
      </w:pPr>
      <w:r>
        <w:rPr>
          <w:rFonts w:cs="BookmanITC Lt BT" w:ascii="BookmanITC Lt BT" w:hAnsi="BookmanITC Lt BT"/>
          <w:b/>
          <w:bCs/>
          <w:szCs w:val="26"/>
          <w:u w:val="single"/>
        </w:rPr>
        <w:t>ISO Compliance Filing</w:t>
      </w:r>
      <w:r>
        <w:rPr>
          <w:szCs w:val="26"/>
        </w:rPr>
        <w:t xml:space="preserve"> </w:t>
      </w:r>
    </w:p>
    <w:p>
      <w:pPr>
        <w:pStyle w:val="Normal"/>
        <w:rPr/>
      </w:pPr>
      <w:r>
        <w:rPr>
          <w:szCs w:val="26"/>
        </w:rPr>
        <w:t xml:space="preserve">Interestingly, </w:t>
      </w:r>
      <w:r>
        <w:rPr/>
        <w:t>the filing does not include anything at all related to the status of the Board, i.e., tariff or bylaw changes reflecting either:</w:t>
      </w:r>
    </w:p>
    <w:p>
      <w:pPr>
        <w:pStyle w:val="Normal"/>
        <w:rPr>
          <w:sz w:val="12"/>
        </w:rPr>
      </w:pPr>
      <w:r>
        <w:rPr>
          <w:sz w:val="12"/>
        </w:rPr>
      </w:r>
    </w:p>
    <w:p>
      <w:pPr>
        <w:pStyle w:val="Normal"/>
        <w:numPr>
          <w:ilvl w:val="0"/>
          <w:numId w:val="3"/>
        </w:numPr>
        <w:rPr/>
      </w:pPr>
      <w:r>
        <w:rPr/>
        <w:t>The soon-to-be-changed role of the existing Board (e.g., transition to “advisory”-only status on January 31</w:t>
      </w:r>
      <w:r>
        <w:rPr>
          <w:vertAlign w:val="superscript"/>
        </w:rPr>
        <w:t>st</w:t>
      </w:r>
      <w:r>
        <w:rPr/>
        <w:t xml:space="preserve">);  or </w:t>
      </w:r>
    </w:p>
    <w:p>
      <w:pPr>
        <w:pStyle w:val="Normal"/>
        <w:ind w:start="360" w:end="0"/>
        <w:rPr>
          <w:sz w:val="12"/>
        </w:rPr>
      </w:pPr>
      <w:r>
        <w:rPr>
          <w:sz w:val="12"/>
        </w:rPr>
      </w:r>
    </w:p>
    <w:p>
      <w:pPr>
        <w:pStyle w:val="Normal"/>
        <w:numPr>
          <w:ilvl w:val="0"/>
          <w:numId w:val="3"/>
        </w:numPr>
        <w:rPr/>
      </w:pPr>
      <w:r>
        <w:rPr/>
        <w:t xml:space="preserve">Selection provisions for the new Board.  </w:t>
      </w:r>
    </w:p>
    <w:p>
      <w:pPr>
        <w:pStyle w:val="Normal"/>
        <w:ind w:start="360" w:end="0"/>
        <w:rPr>
          <w:sz w:val="16"/>
        </w:rPr>
      </w:pPr>
      <w:r>
        <w:rPr>
          <w:sz w:val="16"/>
        </w:rPr>
      </w:r>
    </w:p>
    <w:p>
      <w:pPr>
        <w:pStyle w:val="Normal"/>
        <w:rPr/>
      </w:pPr>
      <w:r>
        <w:rPr>
          <w:rFonts w:cs="Abadi MT Condensed Light" w:ascii="Abadi MT Condensed Light" w:hAnsi="Abadi MT Condensed Light"/>
          <w:b/>
          <w:bCs/>
          <w:i/>
          <w:iCs/>
          <w:color w:val="333399"/>
        </w:rPr>
        <w:t>(</w:t>
      </w:r>
      <w:r>
        <w:rPr>
          <w:rFonts w:cs="Abadi MT Condensed Light" w:ascii="Abadi MT Condensed Light" w:hAnsi="Abadi MT Condensed Light"/>
          <w:b/>
          <w:bCs/>
          <w:i/>
          <w:iCs/>
          <w:color w:val="333399"/>
          <w:u w:val="single"/>
        </w:rPr>
        <w:t>Consultant comment:</w:t>
      </w:r>
      <w:r>
        <w:rPr>
          <w:rFonts w:cs="Abadi MT Condensed Light" w:ascii="Abadi MT Condensed Light" w:hAnsi="Abadi MT Condensed Light"/>
          <w:b/>
          <w:bCs/>
          <w:i/>
          <w:iCs/>
          <w:color w:val="333399"/>
        </w:rPr>
        <w:t xml:space="preserve">  Presumably, ISO Management is waiting until discussions are held between FERC and California state authorities before filing changes in compliance with the Order but possibly in violation of state law.)</w:t>
      </w:r>
    </w:p>
    <w:p>
      <w:pPr>
        <w:pStyle w:val="Normal"/>
        <w:autoSpaceDE w:val="false"/>
        <w:rPr>
          <w:rFonts w:ascii="Abadi MT Condensed Light" w:hAnsi="Abadi MT Condensed Light" w:cs="Abadi MT Condensed Light"/>
          <w:b/>
          <w:bCs/>
          <w:i/>
          <w:i/>
          <w:iCs/>
          <w:color w:val="333399"/>
          <w:szCs w:val="26"/>
        </w:rPr>
      </w:pPr>
      <w:r>
        <w:rPr>
          <w:rFonts w:cs="Abadi MT Condensed Light" w:ascii="Abadi MT Condensed Light" w:hAnsi="Abadi MT Condensed Light"/>
          <w:b/>
          <w:bCs/>
          <w:i/>
          <w:iCs/>
          <w:color w:val="333399"/>
          <w:szCs w:val="26"/>
        </w:rPr>
      </w:r>
    </w:p>
    <w:p>
      <w:pPr>
        <w:pStyle w:val="Heading1"/>
        <w:ind w:hanging="0" w:start="0"/>
        <w:rPr/>
      </w:pPr>
      <w:r>
        <w:rPr/>
        <w:t xml:space="preserve">DMA/MSC report submission </w:t>
      </w:r>
    </w:p>
    <w:p>
      <w:pPr>
        <w:pStyle w:val="Normal"/>
        <w:autoSpaceDE w:val="false"/>
        <w:rPr>
          <w:sz w:val="8"/>
          <w:szCs w:val="26"/>
        </w:rPr>
      </w:pPr>
      <w:r>
        <w:rPr>
          <w:sz w:val="8"/>
          <w:szCs w:val="26"/>
        </w:rPr>
      </w:r>
    </w:p>
    <w:p>
      <w:pPr>
        <w:pStyle w:val="Normal"/>
        <w:autoSpaceDE w:val="false"/>
        <w:rPr/>
      </w:pPr>
      <w:r>
        <w:rPr>
          <w:rFonts w:cs="BookmanITC Lt BT" w:ascii="BookmanITC Lt BT" w:hAnsi="BookmanITC Lt BT"/>
          <w:b/>
          <w:bCs/>
          <w:szCs w:val="26"/>
          <w:u w:val="single"/>
        </w:rPr>
        <w:t>FERC Order:</w:t>
      </w:r>
      <w:r>
        <w:rPr>
          <w:szCs w:val="26"/>
        </w:rPr>
        <w:t xml:space="preserve">  Requires ISO Department of Market Analysis and ISO Market Surveillance Committee reports to be filed with FERC when they’re released to the ISO Board, to “allow the Commission more timely information on market behavior.”</w:t>
      </w:r>
    </w:p>
    <w:p>
      <w:pPr>
        <w:pStyle w:val="Normal"/>
        <w:autoSpaceDE w:val="false"/>
        <w:rPr>
          <w:sz w:val="16"/>
          <w:szCs w:val="26"/>
        </w:rPr>
      </w:pPr>
      <w:r>
        <w:rPr>
          <w:sz w:val="16"/>
          <w:szCs w:val="26"/>
        </w:rPr>
      </w:r>
    </w:p>
    <w:p>
      <w:pPr>
        <w:pStyle w:val="Normal"/>
        <w:autoSpaceDE w:val="false"/>
        <w:rPr/>
      </w:pPr>
      <w:r>
        <w:rPr>
          <w:rFonts w:cs="BookmanITC Lt BT" w:ascii="BookmanITC Lt BT" w:hAnsi="BookmanITC Lt BT"/>
          <w:b/>
          <w:bCs/>
          <w:szCs w:val="26"/>
          <w:u w:val="single"/>
        </w:rPr>
        <w:t>ISO Compliance Filing:</w:t>
      </w:r>
      <w:r>
        <w:rPr>
          <w:szCs w:val="26"/>
        </w:rPr>
        <w:t xml:space="preserve">  Not mentioned in the filing.</w:t>
      </w:r>
    </w:p>
    <w:p>
      <w:pPr>
        <w:pStyle w:val="Footer"/>
        <w:tabs>
          <w:tab w:val="clear" w:pos="4320"/>
          <w:tab w:val="clear" w:pos="8640"/>
        </w:tabs>
        <w:rPr>
          <w:szCs w:val="26"/>
        </w:rPr>
      </w:pPr>
      <w:r>
        <w:rPr>
          <w:szCs w:val="26"/>
        </w:rPr>
      </w:r>
    </w:p>
    <w:p>
      <w:pPr>
        <w:pStyle w:val="Heading1"/>
        <w:ind w:hanging="0" w:start="0"/>
        <w:rPr/>
      </w:pPr>
      <w:r>
        <w:rPr/>
        <w:t xml:space="preserve">Price Mitigation Measures </w:t>
      </w:r>
    </w:p>
    <w:p>
      <w:pPr>
        <w:pStyle w:val="Normal"/>
        <w:rPr>
          <w:rFonts w:ascii="Arial" w:hAnsi="Arial" w:cs="Arial"/>
          <w:b/>
          <w:bCs/>
          <w:sz w:val="8"/>
          <w:szCs w:val="26"/>
          <w:u w:val="single"/>
        </w:rPr>
      </w:pPr>
      <w:r>
        <w:rPr>
          <w:rFonts w:cs="Arial" w:ascii="Arial" w:hAnsi="Arial"/>
          <w:b/>
          <w:bCs/>
          <w:sz w:val="8"/>
          <w:szCs w:val="26"/>
          <w:u w:val="single"/>
        </w:rPr>
      </w:r>
    </w:p>
    <w:p>
      <w:pPr>
        <w:pStyle w:val="Heading4"/>
        <w:autoSpaceDE w:val="true"/>
        <w:ind w:hanging="0" w:end="0"/>
        <w:jc w:val="center"/>
        <w:rPr/>
      </w:pPr>
      <w:r>
        <w:rPr>
          <w:rFonts w:cs="Arial" w:ascii="Arial" w:hAnsi="Arial"/>
        </w:rPr>
        <w:t>Limitation on “single price auction</w:t>
      </w:r>
      <w:r>
        <w:rPr>
          <w:rFonts w:cs="Arial" w:ascii="Technical" w:hAnsi="Technical"/>
        </w:rPr>
        <w:t>*</w:t>
      </w:r>
      <w:r>
        <w:rPr>
          <w:rFonts w:cs="Arial" w:ascii="Arial" w:hAnsi="Arial"/>
        </w:rPr>
        <w:t>” rule</w:t>
      </w:r>
    </w:p>
    <w:p>
      <w:pPr>
        <w:pStyle w:val="BodyText"/>
        <w:rPr/>
      </w:pPr>
      <w:r>
        <w:rPr/>
        <w:t>* Provides that all sellers are paid, and all buyers pay, the price of the last (most expensive) bid that clears the market.</w:t>
      </w:r>
    </w:p>
    <w:p>
      <w:pPr>
        <w:pStyle w:val="Normal"/>
        <w:ind w:start="360" w:end="0"/>
        <w:rPr>
          <w:sz w:val="8"/>
        </w:rPr>
      </w:pPr>
      <w:r>
        <w:rPr>
          <w:sz w:val="8"/>
        </w:rPr>
      </w:r>
    </w:p>
    <w:p>
      <w:pPr>
        <w:pStyle w:val="Heading4"/>
        <w:autoSpaceDE w:val="true"/>
        <w:ind w:hanging="0" w:end="0"/>
        <w:rPr/>
      </w:pPr>
      <w:r>
        <w:rPr/>
        <w:t>FERC Order</w:t>
      </w:r>
    </w:p>
    <w:p>
      <w:pPr>
        <w:pStyle w:val="Normal"/>
        <w:numPr>
          <w:ilvl w:val="0"/>
          <w:numId w:val="4"/>
        </w:numPr>
        <w:rPr>
          <w:szCs w:val="26"/>
        </w:rPr>
      </w:pPr>
      <w:r>
        <w:rPr>
          <w:rFonts w:cs="Lucida Sans" w:ascii="Lucida Sans" w:hAnsi="Lucida Sans"/>
          <w:b/>
          <w:bCs/>
          <w:szCs w:val="26"/>
          <w:u w:val="single"/>
        </w:rPr>
        <w:t>“</w:t>
      </w:r>
      <w:r>
        <w:rPr>
          <w:rFonts w:cs="Lucida Sans" w:ascii="Lucida Sans" w:hAnsi="Lucida Sans"/>
          <w:b/>
          <w:bCs/>
          <w:szCs w:val="26"/>
          <w:u w:val="single"/>
        </w:rPr>
        <w:t>Soft cap” structure:</w:t>
      </w:r>
      <w:r>
        <w:rPr>
          <w:szCs w:val="26"/>
        </w:rPr>
        <w:t xml:space="preserve">  Effective January 1</w:t>
      </w:r>
      <w:r>
        <w:rPr>
          <w:szCs w:val="26"/>
          <w:vertAlign w:val="superscript"/>
        </w:rPr>
        <w:t>st</w:t>
      </w:r>
      <w:r>
        <w:rPr>
          <w:szCs w:val="26"/>
        </w:rPr>
        <w:t xml:space="preserve">, 2001, the single price auction would only apply up to a market-clearing price (MCP) of $150/MW;  bids accepted above that “soft cap” level will be paid the price bid, with the cost averaged with the uniform $150 priced bids for purposes of charging loads.  </w:t>
      </w:r>
    </w:p>
    <w:p>
      <w:pPr>
        <w:pStyle w:val="Normal"/>
        <w:rPr>
          <w:sz w:val="16"/>
          <w:szCs w:val="26"/>
        </w:rPr>
      </w:pPr>
      <w:r>
        <w:rPr>
          <w:sz w:val="16"/>
          <w:szCs w:val="26"/>
        </w:rPr>
      </w:r>
    </w:p>
    <w:p>
      <w:pPr>
        <w:pStyle w:val="Normal"/>
        <w:numPr>
          <w:ilvl w:val="0"/>
          <w:numId w:val="4"/>
        </w:numPr>
        <w:rPr/>
      </w:pPr>
      <w:r>
        <w:rPr>
          <w:rFonts w:cs="Lucida Sans" w:ascii="Lucida Sans" w:hAnsi="Lucida Sans"/>
          <w:b/>
          <w:bCs/>
          <w:u w:val="single"/>
        </w:rPr>
        <w:t>Replacement Reserve treatment:</w:t>
      </w:r>
      <w:r>
        <w:rPr/>
        <w:t xml:space="preserve">  This structure will apply also for Replacement Reserves (RR);  however, if dispatched, the seller will receive only the Imbalance Energy payment, and not the market clearing RR capacity payment.</w:t>
      </w:r>
    </w:p>
    <w:p>
      <w:pPr>
        <w:pStyle w:val="Normal"/>
        <w:rPr>
          <w:sz w:val="16"/>
        </w:rPr>
      </w:pPr>
      <w:r>
        <w:rPr>
          <w:sz w:val="16"/>
        </w:rPr>
      </w:r>
    </w:p>
    <w:p>
      <w:pPr>
        <w:pStyle w:val="Normal"/>
        <w:numPr>
          <w:ilvl w:val="0"/>
          <w:numId w:val="4"/>
        </w:numPr>
        <w:rPr/>
      </w:pPr>
      <w:r>
        <w:rPr>
          <w:rFonts w:cs="Lucida Sans" w:ascii="Lucida Sans" w:hAnsi="Lucida Sans"/>
          <w:b/>
          <w:bCs/>
          <w:u w:val="single"/>
        </w:rPr>
        <w:t>Exemption for demand-side programs/bids:</w:t>
      </w:r>
      <w:r>
        <w:rPr/>
        <w:t xml:space="preserve">  The new structure is not applicable to “Demand Response  programs” or “load response bids.”  (footnote 84, p.34)</w:t>
      </w:r>
    </w:p>
    <w:p>
      <w:pPr>
        <w:pStyle w:val="Normal"/>
        <w:autoSpaceDE w:val="false"/>
        <w:rPr>
          <w:rFonts w:ascii="Technical" w:hAnsi="Technical" w:cs="Technical"/>
          <w:b/>
          <w:bCs/>
          <w:i/>
          <w:i/>
          <w:iCs/>
          <w:sz w:val="16"/>
          <w:szCs w:val="26"/>
        </w:rPr>
      </w:pPr>
      <w:r>
        <w:rPr>
          <w:rFonts w:cs="Technical" w:ascii="Technical" w:hAnsi="Technical"/>
          <w:b/>
          <w:bCs/>
          <w:i/>
          <w:iCs/>
          <w:sz w:val="16"/>
          <w:szCs w:val="26"/>
        </w:rPr>
      </w:r>
    </w:p>
    <w:p>
      <w:pPr>
        <w:pStyle w:val="Footer"/>
        <w:tabs>
          <w:tab w:val="clear" w:pos="4320"/>
          <w:tab w:val="clear" w:pos="8640"/>
        </w:tabs>
        <w:autoSpaceDE w:val="false"/>
        <w:rPr/>
      </w:pPr>
      <w:r>
        <w:rPr>
          <w:rFonts w:cs="BookmanITC Lt BT" w:ascii="BookmanITC Lt BT" w:hAnsi="BookmanITC Lt BT"/>
          <w:b/>
          <w:bCs/>
          <w:szCs w:val="26"/>
          <w:u w:val="single"/>
        </w:rPr>
        <w:t>ISO Compliance Filing:</w:t>
      </w:r>
      <w:r>
        <w:rPr>
          <w:szCs w:val="26"/>
        </w:rPr>
        <w:t xml:space="preserve">  </w:t>
      </w:r>
    </w:p>
    <w:p>
      <w:pPr>
        <w:pStyle w:val="Normal"/>
        <w:numPr>
          <w:ilvl w:val="0"/>
          <w:numId w:val="4"/>
        </w:numPr>
        <w:rPr>
          <w:szCs w:val="26"/>
        </w:rPr>
      </w:pPr>
      <w:r>
        <w:rPr>
          <w:rFonts w:cs="Lucida Sans" w:ascii="Lucida Sans" w:hAnsi="Lucida Sans"/>
          <w:b/>
          <w:bCs/>
          <w:szCs w:val="26"/>
          <w:u w:val="single"/>
        </w:rPr>
        <w:t>Allocation of Ancillary Services capacity costs above $150/MW:</w:t>
      </w:r>
      <w:r>
        <w:rPr>
          <w:szCs w:val="26"/>
        </w:rPr>
        <w:t xml:space="preserve">  The ISO proposes to use the treatment specified in </w:t>
      </w:r>
      <w:r>
        <w:rPr/>
        <w:t>the November 1</w:t>
      </w:r>
      <w:r>
        <w:rPr>
          <w:vertAlign w:val="superscript"/>
        </w:rPr>
        <w:t>st</w:t>
      </w:r>
      <w:r>
        <w:rPr/>
        <w:t xml:space="preserve"> draft order, which stated that “</w:t>
      </w:r>
      <w:r>
        <w:rPr>
          <w:szCs w:val="26"/>
        </w:rPr>
        <w:t xml:space="preserve">These [above-$150] prices will be averaged and billed to all the load which was supplied in the auction” (i.e., in this case, to everyone who is “served” by the A/S capacity - allocated based on metered demand for SCs who don’t self-provide their own A/S). </w:t>
      </w:r>
    </w:p>
    <w:p>
      <w:pPr>
        <w:pStyle w:val="Normal"/>
        <w:rPr>
          <w:sz w:val="16"/>
          <w:szCs w:val="26"/>
        </w:rPr>
      </w:pPr>
      <w:r>
        <w:rPr>
          <w:sz w:val="16"/>
          <w:szCs w:val="26"/>
        </w:rPr>
      </w:r>
    </w:p>
    <w:p>
      <w:pPr>
        <w:pStyle w:val="Normal"/>
        <w:numPr>
          <w:ilvl w:val="0"/>
          <w:numId w:val="4"/>
        </w:numPr>
        <w:rPr>
          <w:szCs w:val="26"/>
        </w:rPr>
      </w:pPr>
      <w:r>
        <w:rPr>
          <w:rFonts w:cs="Lucida Sans" w:ascii="Lucida Sans" w:hAnsi="Lucida Sans"/>
          <w:b/>
          <w:bCs/>
          <w:szCs w:val="26"/>
          <w:u w:val="single"/>
        </w:rPr>
        <w:t>Allocation of Imbalance Energy costs above $150:</w:t>
      </w:r>
      <w:r>
        <w:rPr>
          <w:szCs w:val="26"/>
        </w:rPr>
        <w:t xml:space="preserve">  </w:t>
      </w:r>
      <w:r>
        <w:rPr/>
        <w:t>The filing states, “the December 15 order did not address the allocation of the costs the ISO incurs to acquire real-time Energy at prices above the breakpoint.”  T</w:t>
      </w:r>
      <w:r>
        <w:rPr>
          <w:szCs w:val="26"/>
        </w:rPr>
        <w:t>he ISO proposes to retain the cost treatment from Amendment 33 (December 8</w:t>
      </w:r>
      <w:r>
        <w:rPr>
          <w:szCs w:val="26"/>
          <w:vertAlign w:val="superscript"/>
        </w:rPr>
        <w:t>th</w:t>
      </w:r>
      <w:r>
        <w:rPr>
          <w:szCs w:val="26"/>
        </w:rPr>
        <w:t xml:space="preserve"> emergency FERC Order implementing $250 “soft cap”), which allocates the cost of above-$150 energy to “negative deviations” (under-scheduled load and over-scheduled generation (generation scheduled but not delivered)).</w:t>
      </w:r>
    </w:p>
    <w:p>
      <w:pPr>
        <w:pStyle w:val="Normal"/>
        <w:rPr>
          <w:sz w:val="16"/>
          <w:szCs w:val="26"/>
        </w:rPr>
      </w:pPr>
      <w:r>
        <w:rPr>
          <w:sz w:val="16"/>
          <w:szCs w:val="26"/>
        </w:rPr>
      </w:r>
    </w:p>
    <w:p>
      <w:pPr>
        <w:pStyle w:val="Normal"/>
        <w:rPr>
          <w:rFonts w:ascii="Abadi MT Condensed Light" w:hAnsi="Abadi MT Condensed Light" w:cs="Abadi MT Condensed Light"/>
          <w:b/>
          <w:bCs/>
          <w:i/>
          <w:i/>
          <w:iCs/>
          <w:color w:val="333399"/>
          <w:szCs w:val="26"/>
          <w:u w:val="single"/>
        </w:rPr>
      </w:pPr>
      <w:r>
        <w:rPr>
          <w:rFonts w:cs="Abadi MT Condensed Light" w:ascii="Abadi MT Condensed Light" w:hAnsi="Abadi MT Condensed Light"/>
          <w:b/>
          <w:bCs/>
          <w:i/>
          <w:iCs/>
          <w:color w:val="333399"/>
          <w:szCs w:val="26"/>
          <w:u w:val="single"/>
        </w:rPr>
        <w:t>Consultant Comments</w:t>
      </w:r>
    </w:p>
    <w:p>
      <w:pPr>
        <w:pStyle w:val="Normal"/>
        <w:rPr/>
      </w:pPr>
      <w:r>
        <w:rPr>
          <w:rFonts w:cs="Abadi MT Condensed Light" w:ascii="Abadi MT Condensed Light" w:hAnsi="Abadi MT Condensed Light"/>
          <w:b/>
          <w:bCs/>
          <w:i/>
          <w:iCs/>
          <w:color w:val="333399"/>
          <w:szCs w:val="26"/>
        </w:rPr>
        <w:t>It’s pretty clear from the December 15</w:t>
      </w:r>
      <w:r>
        <w:rPr>
          <w:rFonts w:cs="Abadi MT Condensed Light" w:ascii="Abadi MT Condensed Light" w:hAnsi="Abadi MT Condensed Light"/>
          <w:b/>
          <w:bCs/>
          <w:i/>
          <w:iCs/>
          <w:color w:val="333399"/>
          <w:szCs w:val="26"/>
          <w:vertAlign w:val="superscript"/>
        </w:rPr>
        <w:t>th</w:t>
      </w:r>
      <w:r>
        <w:rPr>
          <w:rFonts w:cs="Abadi MT Condensed Light" w:ascii="Abadi MT Condensed Light" w:hAnsi="Abadi MT Condensed Light"/>
          <w:b/>
          <w:bCs/>
          <w:i/>
          <w:iCs/>
          <w:color w:val="333399"/>
          <w:szCs w:val="26"/>
        </w:rPr>
        <w:t xml:space="preserve"> Order that FERC decided to stick with its original proposal from the November 1</w:t>
      </w:r>
      <w:r>
        <w:rPr>
          <w:rFonts w:cs="Abadi MT Condensed Light" w:ascii="Abadi MT Condensed Light" w:hAnsi="Abadi MT Condensed Light"/>
          <w:b/>
          <w:bCs/>
          <w:i/>
          <w:iCs/>
          <w:color w:val="333399"/>
          <w:szCs w:val="26"/>
          <w:vertAlign w:val="superscript"/>
        </w:rPr>
        <w:t>st</w:t>
      </w:r>
      <w:r>
        <w:rPr>
          <w:rFonts w:cs="Abadi MT Condensed Light" w:ascii="Abadi MT Condensed Light" w:hAnsi="Abadi MT Condensed Light"/>
          <w:b/>
          <w:bCs/>
          <w:i/>
          <w:iCs/>
          <w:color w:val="333399"/>
          <w:szCs w:val="26"/>
        </w:rPr>
        <w:t xml:space="preserve"> draft order on the soft price cap.  That draft was </w:t>
      </w:r>
      <w:r>
        <w:rPr>
          <w:rFonts w:cs="Abadi MT Condensed Light" w:ascii="Abadi MT Condensed Light" w:hAnsi="Abadi MT Condensed Light"/>
          <w:b/>
          <w:bCs/>
          <w:i/>
          <w:iCs/>
          <w:color w:val="333399"/>
          <w:szCs w:val="26"/>
          <w:u w:val="single"/>
        </w:rPr>
        <w:t>very</w:t>
      </w:r>
      <w:r>
        <w:rPr>
          <w:rFonts w:cs="Abadi MT Condensed Light" w:ascii="Abadi MT Condensed Light" w:hAnsi="Abadi MT Condensed Light"/>
          <w:b/>
          <w:bCs/>
          <w:i/>
          <w:iCs/>
          <w:color w:val="333399"/>
          <w:szCs w:val="26"/>
        </w:rPr>
        <w:t xml:space="preserve"> explicit about how above-$150 bids were to be treated:  </w:t>
      </w:r>
      <w:r>
        <w:rPr>
          <w:rFonts w:cs="Abadi MT Condensed Light" w:ascii="Abadi MT Condensed Light" w:hAnsi="Abadi MT Condensed Light"/>
          <w:b/>
          <w:bCs/>
          <w:i/>
          <w:iCs/>
          <w:color w:val="333399"/>
        </w:rPr>
        <w:t>“</w:t>
      </w:r>
      <w:r>
        <w:rPr>
          <w:rFonts w:cs="Abadi MT Condensed Light" w:ascii="Abadi MT Condensed Light" w:hAnsi="Abadi MT Condensed Light"/>
          <w:b/>
          <w:bCs/>
          <w:i/>
          <w:iCs/>
          <w:color w:val="333399"/>
          <w:szCs w:val="26"/>
        </w:rPr>
        <w:t>These [above-$150] prices will be averaged and billed to all the load which was supplied in the auction.” (pp. 34-35)</w:t>
      </w:r>
    </w:p>
    <w:p>
      <w:pPr>
        <w:pStyle w:val="Footer"/>
        <w:tabs>
          <w:tab w:val="clear" w:pos="4320"/>
          <w:tab w:val="clear" w:pos="8640"/>
        </w:tabs>
        <w:rPr>
          <w:rFonts w:ascii="Abadi MT Condensed Light" w:hAnsi="Abadi MT Condensed Light" w:cs="Abadi MT Condensed Light"/>
          <w:b/>
          <w:bCs/>
          <w:i/>
          <w:i/>
          <w:iCs/>
          <w:color w:val="333399"/>
          <w:sz w:val="16"/>
          <w:szCs w:val="26"/>
        </w:rPr>
      </w:pPr>
      <w:r>
        <w:rPr>
          <w:rFonts w:cs="Abadi MT Condensed Light" w:ascii="Abadi MT Condensed Light" w:hAnsi="Abadi MT Condensed Light"/>
          <w:b/>
          <w:bCs/>
          <w:i/>
          <w:iCs/>
          <w:color w:val="333399"/>
          <w:sz w:val="16"/>
          <w:szCs w:val="26"/>
        </w:rPr>
      </w:r>
    </w:p>
    <w:p>
      <w:pPr>
        <w:pStyle w:val="Normal"/>
        <w:rPr>
          <w:rFonts w:ascii="Abadi MT Condensed Light" w:hAnsi="Abadi MT Condensed Light" w:cs="Abadi MT Condensed Light"/>
          <w:b/>
          <w:bCs/>
          <w:i/>
          <w:i/>
          <w:iCs/>
          <w:color w:val="333399"/>
        </w:rPr>
      </w:pPr>
      <w:r>
        <w:rPr>
          <w:rFonts w:cs="Abadi MT Condensed Light" w:ascii="Abadi MT Condensed Light" w:hAnsi="Abadi MT Condensed Light"/>
          <w:b/>
          <w:bCs/>
          <w:i/>
          <w:iCs/>
          <w:color w:val="333399"/>
          <w:szCs w:val="26"/>
        </w:rPr>
        <w:t xml:space="preserve">The draft order states that the proposal would apply to “all short-term markets operated by the PX and the ISO,” and does not make any distinction between Ancillary Services capacity and Imbalance Energy.  In fact,  the text refers frequently to concerns such as generator recovery of </w:t>
      </w:r>
      <w:r>
        <w:rPr>
          <w:rFonts w:cs="Abadi MT Condensed Light" w:ascii="Abadi MT Condensed Light" w:hAnsi="Abadi MT Condensed Light"/>
          <w:b/>
          <w:bCs/>
          <w:i/>
          <w:iCs/>
          <w:color w:val="333399"/>
          <w:szCs w:val="26"/>
          <w:u w:val="single"/>
        </w:rPr>
        <w:t>variable</w:t>
      </w:r>
      <w:r>
        <w:rPr>
          <w:rFonts w:cs="Abadi MT Condensed Light" w:ascii="Abadi MT Condensed Light" w:hAnsi="Abadi MT Condensed Light"/>
          <w:b/>
          <w:bCs/>
          <w:i/>
          <w:iCs/>
          <w:color w:val="333399"/>
          <w:szCs w:val="26"/>
        </w:rPr>
        <w:t xml:space="preserve"> costs in the face of high gas prices, implying that the discussion is </w:t>
      </w:r>
      <w:r>
        <w:rPr>
          <w:rFonts w:cs="Abadi MT Condensed Light" w:ascii="Abadi MT Condensed Light" w:hAnsi="Abadi MT Condensed Light"/>
          <w:b/>
          <w:bCs/>
          <w:i/>
          <w:iCs/>
          <w:color w:val="333399"/>
          <w:szCs w:val="26"/>
          <w:u w:val="single"/>
        </w:rPr>
        <w:t>especially</w:t>
      </w:r>
      <w:r>
        <w:rPr>
          <w:rFonts w:cs="Abadi MT Condensed Light" w:ascii="Abadi MT Condensed Light" w:hAnsi="Abadi MT Condensed Light"/>
          <w:b/>
          <w:bCs/>
          <w:i/>
          <w:iCs/>
          <w:color w:val="333399"/>
          <w:szCs w:val="26"/>
        </w:rPr>
        <w:t xml:space="preserve"> germane to Imbalance Energy (as opposed to Ancillary Services capacity) prices.</w:t>
      </w:r>
    </w:p>
    <w:p>
      <w:pPr>
        <w:pStyle w:val="Normal"/>
        <w:rPr>
          <w:rFonts w:ascii="Abadi MT Condensed Light" w:hAnsi="Abadi MT Condensed Light" w:cs="Abadi MT Condensed Light"/>
          <w:b/>
          <w:bCs/>
          <w:i/>
          <w:i/>
          <w:iCs/>
          <w:color w:val="333399"/>
          <w:sz w:val="16"/>
          <w:szCs w:val="26"/>
        </w:rPr>
      </w:pPr>
      <w:r>
        <w:rPr>
          <w:rFonts w:cs="Abadi MT Condensed Light" w:ascii="Abadi MT Condensed Light" w:hAnsi="Abadi MT Condensed Light"/>
          <w:b/>
          <w:bCs/>
          <w:i/>
          <w:iCs/>
          <w:color w:val="333399"/>
          <w:sz w:val="16"/>
          <w:szCs w:val="26"/>
        </w:rPr>
      </w:r>
    </w:p>
    <w:p>
      <w:pPr>
        <w:pStyle w:val="Normal"/>
        <w:rPr>
          <w:rFonts w:ascii="Abadi MT Condensed Light" w:hAnsi="Abadi MT Condensed Light" w:cs="Abadi MT Condensed Light"/>
          <w:b/>
          <w:bCs/>
          <w:i/>
          <w:i/>
          <w:iCs/>
          <w:color w:val="333399"/>
          <w:szCs w:val="26"/>
        </w:rPr>
      </w:pPr>
      <w:r>
        <w:rPr>
          <w:rFonts w:cs="Abadi MT Condensed Light" w:ascii="Abadi MT Condensed Light" w:hAnsi="Abadi MT Condensed Light"/>
          <w:b/>
          <w:bCs/>
          <w:i/>
          <w:iCs/>
          <w:color w:val="333399"/>
          <w:szCs w:val="26"/>
        </w:rPr>
        <w:t>I’m not a lawyer, but my interpretation of the two orders would be that FERC intended that Imbalance Energy costs for bids over $150 be allocated only to under-scheduled loads (notwithstanding any opinion I might have about the fairness/accuracy of this allocation method).  This would be consistent with the FERC narrative in both orders, which focuses on under-scheduled loads but never mentions over-scheduled generation.</w:t>
      </w:r>
    </w:p>
    <w:p>
      <w:pPr>
        <w:pStyle w:val="Normal"/>
        <w:rPr>
          <w:rFonts w:ascii="Abadi MT Condensed Light" w:hAnsi="Abadi MT Condensed Light" w:cs="Abadi MT Condensed Light"/>
          <w:b/>
          <w:bCs/>
          <w:i/>
          <w:i/>
          <w:iCs/>
          <w:color w:val="333399"/>
          <w:sz w:val="16"/>
          <w:szCs w:val="26"/>
        </w:rPr>
      </w:pPr>
      <w:r>
        <w:rPr>
          <w:rFonts w:cs="Abadi MT Condensed Light" w:ascii="Abadi MT Condensed Light" w:hAnsi="Abadi MT Condensed Light"/>
          <w:b/>
          <w:bCs/>
          <w:i/>
          <w:iCs/>
          <w:color w:val="333399"/>
          <w:sz w:val="16"/>
          <w:szCs w:val="26"/>
        </w:rPr>
      </w:r>
    </w:p>
    <w:p>
      <w:pPr>
        <w:pStyle w:val="Normal"/>
        <w:numPr>
          <w:ilvl w:val="0"/>
          <w:numId w:val="3"/>
        </w:numPr>
        <w:rPr>
          <w:szCs w:val="26"/>
        </w:rPr>
      </w:pPr>
      <w:r>
        <w:rPr>
          <w:rFonts w:cs="Lucida Sans" w:ascii="Lucida Sans" w:hAnsi="Lucida Sans"/>
          <w:b/>
          <w:bCs/>
          <w:szCs w:val="26"/>
          <w:u w:val="single"/>
        </w:rPr>
        <w:t>Exemption for Demand/Load participation:</w:t>
      </w:r>
      <w:r>
        <w:rPr>
          <w:szCs w:val="26"/>
        </w:rPr>
        <w:t xml:space="preserve">  Not included in the compliance filing.</w:t>
      </w:r>
    </w:p>
    <w:p>
      <w:pPr>
        <w:pStyle w:val="Normal"/>
        <w:rPr>
          <w:szCs w:val="26"/>
        </w:rPr>
      </w:pPr>
      <w:r>
        <w:rPr>
          <w:szCs w:val="26"/>
        </w:rPr>
      </w:r>
    </w:p>
    <w:p>
      <w:pPr>
        <w:pStyle w:val="Normal"/>
        <w:rPr>
          <w:szCs w:val="26"/>
        </w:rPr>
      </w:pPr>
      <w:r>
        <w:rPr>
          <w:szCs w:val="26"/>
        </w:rPr>
      </w:r>
    </w:p>
    <w:p>
      <w:pPr>
        <w:pStyle w:val="Normal"/>
        <w:ind w:hanging="360" w:start="360" w:end="0"/>
        <w:jc w:val="center"/>
        <w:rPr>
          <w:rFonts w:ascii="Arial" w:hAnsi="Arial" w:cs="Arial"/>
          <w:szCs w:val="26"/>
        </w:rPr>
      </w:pPr>
      <w:r>
        <w:rPr>
          <w:rFonts w:cs="Arial" w:ascii="Arial" w:hAnsi="Arial"/>
          <w:b/>
          <w:bCs/>
          <w:szCs w:val="26"/>
          <w:u w:val="single"/>
        </w:rPr>
        <w:t>Expiration of this pricing structure</w:t>
      </w:r>
    </w:p>
    <w:p>
      <w:pPr>
        <w:pStyle w:val="Normal"/>
        <w:ind w:start="360" w:end="0"/>
        <w:rPr>
          <w:rFonts w:ascii="Arial" w:hAnsi="Arial" w:cs="Arial"/>
          <w:sz w:val="8"/>
          <w:szCs w:val="26"/>
        </w:rPr>
      </w:pPr>
      <w:r>
        <w:rPr>
          <w:rFonts w:cs="Arial" w:ascii="Arial" w:hAnsi="Arial"/>
          <w:sz w:val="8"/>
          <w:szCs w:val="26"/>
        </w:rPr>
      </w:r>
    </w:p>
    <w:p>
      <w:pPr>
        <w:pStyle w:val="Heading8"/>
        <w:tabs>
          <w:tab w:val="clear" w:pos="360"/>
        </w:tabs>
        <w:ind w:hanging="360" w:end="0"/>
        <w:rPr>
          <w:szCs w:val="26"/>
        </w:rPr>
      </w:pPr>
      <w:r>
        <w:rPr>
          <w:szCs w:val="26"/>
        </w:rPr>
        <w:t>FERC Order</w:t>
      </w:r>
    </w:p>
    <w:p>
      <w:pPr>
        <w:pStyle w:val="Normal"/>
        <w:rPr/>
      </w:pPr>
      <w:r>
        <w:rPr>
          <w:szCs w:val="26"/>
        </w:rPr>
        <w:t>While the effective period is stated as 24 months in the November 1</w:t>
      </w:r>
      <w:r>
        <w:rPr>
          <w:szCs w:val="26"/>
          <w:vertAlign w:val="superscript"/>
        </w:rPr>
        <w:t>st</w:t>
      </w:r>
      <w:r>
        <w:rPr>
          <w:szCs w:val="26"/>
        </w:rPr>
        <w:t xml:space="preserve"> draft order, the final Order says that FERC “fully expects” this structure to be superceded by still-to-be-determined revised monitoring and mitigation measures that will take effect May 1</w:t>
      </w:r>
      <w:r>
        <w:rPr>
          <w:szCs w:val="26"/>
          <w:vertAlign w:val="superscript"/>
        </w:rPr>
        <w:t>st</w:t>
      </w:r>
      <w:r>
        <w:rPr>
          <w:szCs w:val="26"/>
        </w:rPr>
        <w:t>.</w:t>
      </w:r>
    </w:p>
    <w:p>
      <w:pPr>
        <w:pStyle w:val="Normal"/>
        <w:ind w:start="360" w:end="0"/>
        <w:rPr>
          <w:sz w:val="16"/>
          <w:szCs w:val="26"/>
        </w:rPr>
      </w:pPr>
      <w:r>
        <w:rPr>
          <w:sz w:val="16"/>
          <w:szCs w:val="26"/>
        </w:rPr>
      </w:r>
    </w:p>
    <w:p>
      <w:pPr>
        <w:pStyle w:val="Heading8"/>
        <w:tabs>
          <w:tab w:val="clear" w:pos="360"/>
        </w:tabs>
        <w:ind w:start="0" w:end="0"/>
        <w:rPr/>
      </w:pPr>
      <w:r>
        <w:rPr>
          <w:szCs w:val="26"/>
        </w:rPr>
        <w:t>ISO Compliance Filing:</w:t>
      </w:r>
      <w:r>
        <w:rPr>
          <w:b w:val="false"/>
          <w:bCs w:val="false"/>
          <w:szCs w:val="26"/>
          <w:u w:val="none"/>
        </w:rPr>
        <w:t xml:space="preserve">  </w:t>
      </w:r>
      <w:r>
        <w:rPr>
          <w:rFonts w:cs="Times New Roman" w:ascii="Times New Roman" w:hAnsi="Times New Roman"/>
          <w:b w:val="false"/>
          <w:bCs w:val="false"/>
          <w:u w:val="none"/>
        </w:rPr>
        <w:t xml:space="preserve">Doesn’t include a sunset provision but states that the ISO “will file conforming tariff changes as needed to re-institute the original pricing provisions of the ISO tariff when appropriate.”  </w:t>
      </w:r>
    </w:p>
    <w:p>
      <w:pPr>
        <w:pStyle w:val="Normal"/>
        <w:rPr>
          <w:rFonts w:ascii="Times New Roman" w:hAnsi="Times New Roman" w:cs="Times New Roman"/>
          <w:b/>
          <w:bCs/>
          <w:sz w:val="16"/>
          <w:u w:val="none"/>
        </w:rPr>
      </w:pPr>
      <w:r>
        <w:rPr>
          <w:rFonts w:cs="Times New Roman"/>
          <w:b/>
          <w:bCs/>
          <w:sz w:val="16"/>
          <w:u w:val="none"/>
        </w:rPr>
      </w:r>
    </w:p>
    <w:p>
      <w:pPr>
        <w:pStyle w:val="Normal"/>
        <w:rPr/>
      </w:pPr>
      <w:r>
        <w:rPr>
          <w:rFonts w:cs="Abadi MT Condensed Light" w:ascii="Abadi MT Condensed Light" w:hAnsi="Abadi MT Condensed Light"/>
          <w:b/>
          <w:bCs/>
          <w:i/>
          <w:iCs/>
          <w:color w:val="333399"/>
        </w:rPr>
        <w:t>(</w:t>
      </w:r>
      <w:r>
        <w:rPr>
          <w:rFonts w:cs="Abadi MT Condensed Light" w:ascii="Abadi MT Condensed Light" w:hAnsi="Abadi MT Condensed Light"/>
          <w:b/>
          <w:bCs/>
          <w:i/>
          <w:iCs/>
          <w:color w:val="333399"/>
          <w:u w:val="single"/>
        </w:rPr>
        <w:t>Consultant note:</w:t>
      </w:r>
      <w:r>
        <w:rPr>
          <w:rFonts w:cs="Abadi MT Condensed Light" w:ascii="Abadi MT Condensed Light" w:hAnsi="Abadi MT Condensed Light"/>
          <w:b/>
          <w:bCs/>
          <w:i/>
          <w:iCs/>
          <w:color w:val="333399"/>
        </w:rPr>
        <w:t xml:space="preserve">  This statement assumes that the monitoring and mitigation revisions ultimately adopted by FERC would provide for a return to the original ISO pricing structure, which I don’t think is a foregone conclusion by any means.)</w:t>
      </w:r>
    </w:p>
    <w:p>
      <w:pPr>
        <w:pStyle w:val="Normal"/>
        <w:tabs>
          <w:tab w:val="clear" w:pos="720"/>
          <w:tab w:val="left" w:pos="1260" w:leader="none"/>
        </w:tabs>
        <w:ind w:hanging="1260" w:start="1800" w:end="0"/>
        <w:rPr>
          <w:rFonts w:ascii="Abadi MT Condensed Light" w:hAnsi="Abadi MT Condensed Light" w:cs="Abadi MT Condensed Light"/>
          <w:b/>
          <w:bCs/>
          <w:i/>
          <w:i/>
          <w:iCs/>
          <w:color w:val="333399"/>
          <w:szCs w:val="26"/>
          <w:vertAlign w:val="superscript"/>
        </w:rPr>
      </w:pPr>
      <w:r>
        <w:rPr>
          <w:rFonts w:cs="Abadi MT Condensed Light" w:ascii="Abadi MT Condensed Light" w:hAnsi="Abadi MT Condensed Light"/>
          <w:b/>
          <w:bCs/>
          <w:i/>
          <w:iCs/>
          <w:color w:val="333399"/>
          <w:szCs w:val="26"/>
          <w:vertAlign w:val="superscript"/>
        </w:rPr>
      </w:r>
    </w:p>
    <w:p>
      <w:pPr>
        <w:pStyle w:val="Normal"/>
        <w:ind w:hanging="360" w:start="360" w:end="0"/>
        <w:jc w:val="center"/>
        <w:rPr>
          <w:rFonts w:ascii="Arial" w:hAnsi="Arial" w:cs="Arial"/>
          <w:szCs w:val="26"/>
        </w:rPr>
      </w:pPr>
      <w:r>
        <w:rPr>
          <w:rFonts w:cs="Arial" w:ascii="Arial" w:hAnsi="Arial"/>
          <w:b/>
          <w:bCs/>
          <w:szCs w:val="26"/>
          <w:u w:val="single"/>
        </w:rPr>
        <w:t>Usage charges and adjustment bids</w:t>
      </w:r>
    </w:p>
    <w:p>
      <w:pPr>
        <w:pStyle w:val="Normal"/>
        <w:ind w:start="360" w:end="0"/>
        <w:rPr>
          <w:rFonts w:ascii="Arial" w:hAnsi="Arial" w:cs="Arial"/>
          <w:sz w:val="8"/>
          <w:szCs w:val="26"/>
        </w:rPr>
      </w:pPr>
      <w:r>
        <w:rPr>
          <w:rFonts w:cs="Arial" w:ascii="Arial" w:hAnsi="Arial"/>
          <w:sz w:val="8"/>
          <w:szCs w:val="26"/>
        </w:rPr>
      </w:r>
    </w:p>
    <w:p>
      <w:pPr>
        <w:pStyle w:val="Heading8"/>
        <w:tabs>
          <w:tab w:val="clear" w:pos="360"/>
        </w:tabs>
        <w:ind w:hanging="360" w:end="0"/>
        <w:rPr/>
      </w:pPr>
      <w:r>
        <w:rPr>
          <w:rFonts w:cs="Abadi MT Condensed Light" w:ascii="Abadi MT Condensed Light" w:hAnsi="Abadi MT Condensed Light"/>
          <w:i/>
          <w:iCs/>
          <w:color w:val="333399"/>
          <w:szCs w:val="26"/>
          <w:u w:val="none"/>
        </w:rPr>
        <w:t>(</w:t>
      </w:r>
      <w:r>
        <w:rPr>
          <w:rFonts w:cs="Abadi MT Condensed Light" w:ascii="Abadi MT Condensed Light" w:hAnsi="Abadi MT Condensed Light"/>
          <w:i/>
          <w:iCs/>
          <w:color w:val="333399"/>
          <w:szCs w:val="26"/>
        </w:rPr>
        <w:t>Consultant reminder</w:t>
      </w:r>
      <w:r>
        <w:rPr>
          <w:rFonts w:cs="Abadi MT Condensed Light" w:ascii="Abadi MT Condensed Light" w:hAnsi="Abadi MT Condensed Light"/>
          <w:i/>
          <w:iCs/>
          <w:color w:val="333399"/>
          <w:szCs w:val="26"/>
          <w:u w:val="none"/>
        </w:rPr>
        <w:t xml:space="preserve">:  </w:t>
      </w:r>
    </w:p>
    <w:p>
      <w:pPr>
        <w:pStyle w:val="Heading8"/>
        <w:numPr>
          <w:ilvl w:val="2"/>
          <w:numId w:val="5"/>
        </w:numPr>
        <w:tabs>
          <w:tab w:val="left" w:pos="360" w:leader="none"/>
          <w:tab w:val="left" w:pos="540" w:leader="none"/>
        </w:tabs>
        <w:ind w:hanging="360" w:start="540" w:end="0"/>
        <w:rPr>
          <w:rFonts w:ascii="Abadi MT Condensed Light" w:hAnsi="Abadi MT Condensed Light" w:cs="Abadi MT Condensed Light"/>
          <w:i/>
          <w:i/>
          <w:iCs/>
          <w:color w:val="333399"/>
          <w:szCs w:val="26"/>
          <w:u w:val="none"/>
        </w:rPr>
      </w:pPr>
      <w:r>
        <w:rPr>
          <w:rFonts w:cs="Abadi MT Condensed Light" w:ascii="Abadi MT Condensed Light" w:hAnsi="Abadi MT Condensed Light"/>
          <w:i/>
          <w:iCs/>
          <w:color w:val="333399"/>
          <w:szCs w:val="26"/>
          <w:u w:val="none"/>
        </w:rPr>
        <w:t>Adjustment Bids are offers by SCs to increase generation (or decrease load) on one side of a congested transmission path and decrease generation (or increase load) on the other side, in order to relieve congestion and accommodate the scheduling of flows in the congested in excess of the path capability.  These bids are considered by the ISO in the “Congestion Management Market,” a third market operated by the ISO (in addition to Ancillary Services and Supplemental Energy).</w:t>
      </w:r>
    </w:p>
    <w:p>
      <w:pPr>
        <w:pStyle w:val="Heading8"/>
        <w:tabs>
          <w:tab w:val="clear" w:pos="360"/>
          <w:tab w:val="left" w:pos="540" w:leader="none"/>
        </w:tabs>
        <w:ind w:hanging="360" w:start="540" w:end="0"/>
        <w:rPr>
          <w:rFonts w:ascii="Abadi MT Condensed Light" w:hAnsi="Abadi MT Condensed Light" w:cs="Abadi MT Condensed Light"/>
          <w:i/>
          <w:i/>
          <w:iCs/>
          <w:color w:val="333399"/>
          <w:sz w:val="12"/>
          <w:szCs w:val="26"/>
          <w:u w:val="none"/>
        </w:rPr>
      </w:pPr>
      <w:r>
        <w:rPr>
          <w:rFonts w:cs="Abadi MT Condensed Light" w:ascii="Abadi MT Condensed Light" w:hAnsi="Abadi MT Condensed Light"/>
          <w:i/>
          <w:iCs/>
          <w:color w:val="333399"/>
          <w:sz w:val="12"/>
          <w:szCs w:val="26"/>
          <w:u w:val="none"/>
        </w:rPr>
      </w:r>
    </w:p>
    <w:p>
      <w:pPr>
        <w:pStyle w:val="Heading8"/>
        <w:numPr>
          <w:ilvl w:val="2"/>
          <w:numId w:val="5"/>
        </w:numPr>
        <w:tabs>
          <w:tab w:val="left" w:pos="360" w:leader="none"/>
          <w:tab w:val="left" w:pos="540" w:leader="none"/>
        </w:tabs>
        <w:ind w:hanging="360" w:start="540" w:end="0"/>
        <w:rPr>
          <w:rFonts w:ascii="Abadi MT Condensed Light" w:hAnsi="Abadi MT Condensed Light" w:cs="Abadi MT Condensed Light"/>
          <w:i/>
          <w:i/>
          <w:iCs/>
          <w:color w:val="333399"/>
          <w:szCs w:val="26"/>
          <w:u w:val="none"/>
        </w:rPr>
      </w:pPr>
      <w:r>
        <w:rPr>
          <w:rFonts w:cs="Abadi MT Condensed Light" w:ascii="Abadi MT Condensed Light" w:hAnsi="Abadi MT Condensed Light"/>
          <w:i/>
          <w:iCs/>
          <w:color w:val="333399"/>
          <w:szCs w:val="26"/>
          <w:u w:val="none"/>
        </w:rPr>
        <w:t>Adjustment Bids are accepted by the ISO in reverse order of price, and the last (most expensive) bid accepted sets the Usage Charge paid by SCs using the transmission path in the congested direction.  Effectively, the Usage Charge is said to be the “value” to the market of that path at that time.)</w:t>
      </w:r>
    </w:p>
    <w:p>
      <w:pPr>
        <w:pStyle w:val="Normal"/>
        <w:rPr>
          <w:rFonts w:ascii="Abadi MT Condensed Light" w:hAnsi="Abadi MT Condensed Light" w:cs="Abadi MT Condensed Light"/>
          <w:i/>
          <w:i/>
          <w:iCs/>
          <w:color w:val="333399"/>
          <w:sz w:val="16"/>
          <w:szCs w:val="26"/>
          <w:u w:val="none"/>
        </w:rPr>
      </w:pPr>
      <w:r>
        <w:rPr>
          <w:rFonts w:cs="Abadi MT Condensed Light" w:ascii="Abadi MT Condensed Light" w:hAnsi="Abadi MT Condensed Light"/>
          <w:i/>
          <w:iCs/>
          <w:color w:val="333399"/>
          <w:sz w:val="16"/>
          <w:szCs w:val="26"/>
          <w:u w:val="none"/>
        </w:rPr>
      </w:r>
    </w:p>
    <w:p>
      <w:pPr>
        <w:pStyle w:val="Heading8"/>
        <w:tabs>
          <w:tab w:val="clear" w:pos="360"/>
        </w:tabs>
        <w:ind w:start="0" w:end="0"/>
        <w:rPr>
          <w:szCs w:val="26"/>
        </w:rPr>
      </w:pPr>
      <w:r>
        <w:rPr>
          <w:szCs w:val="26"/>
        </w:rPr>
        <w:t>FERC Order</w:t>
      </w:r>
    </w:p>
    <w:p>
      <w:pPr>
        <w:pStyle w:val="Normal"/>
        <w:rPr>
          <w:szCs w:val="26"/>
        </w:rPr>
      </w:pPr>
      <w:r>
        <w:rPr>
          <w:szCs w:val="26"/>
        </w:rPr>
        <w:t>ISO, Cal-PX, and “other affected Scheduling Coordinators” are to work out “the most expeditious way to calculate usage charges for congestion management,” in light of unclarities raised by the ISO and Cal-PX about congestion pricing.  Basically, FERC threw up its hands and told the parties to figure out the complexities themselves.</w:t>
      </w:r>
    </w:p>
    <w:p>
      <w:pPr>
        <w:pStyle w:val="Normal"/>
        <w:rPr>
          <w:sz w:val="16"/>
          <w:szCs w:val="26"/>
        </w:rPr>
      </w:pPr>
      <w:r>
        <w:rPr>
          <w:sz w:val="16"/>
          <w:szCs w:val="26"/>
        </w:rPr>
      </w:r>
    </w:p>
    <w:p>
      <w:pPr>
        <w:pStyle w:val="Heading3"/>
        <w:ind w:hanging="0" w:start="0"/>
        <w:rPr/>
      </w:pPr>
      <w:r>
        <w:rPr/>
        <w:t>ISO Compliance Filing</w:t>
      </w:r>
    </w:p>
    <w:p>
      <w:pPr>
        <w:pStyle w:val="Normal"/>
        <w:rPr>
          <w:rFonts w:ascii="Lucida Sans" w:hAnsi="Lucida Sans" w:cs="Lucida Sans"/>
          <w:b/>
          <w:bCs/>
          <w:sz w:val="8"/>
          <w:szCs w:val="26"/>
          <w:u w:val="single"/>
        </w:rPr>
      </w:pPr>
      <w:r>
        <w:rPr>
          <w:rFonts w:cs="Lucida Sans" w:ascii="Lucida Sans" w:hAnsi="Lucida Sans"/>
          <w:b/>
          <w:bCs/>
          <w:sz w:val="8"/>
          <w:szCs w:val="26"/>
          <w:u w:val="single"/>
        </w:rPr>
      </w:r>
    </w:p>
    <w:p>
      <w:pPr>
        <w:pStyle w:val="Normal"/>
        <w:rPr/>
      </w:pPr>
      <w:r>
        <w:rPr>
          <w:rFonts w:cs="Lucida Sans" w:ascii="Lucida Sans" w:hAnsi="Lucida Sans"/>
          <w:b/>
          <w:bCs/>
          <w:szCs w:val="26"/>
          <w:u w:val="single"/>
        </w:rPr>
        <w:t>Proposal:</w:t>
      </w:r>
      <w:r>
        <w:rPr>
          <w:szCs w:val="26"/>
        </w:rPr>
        <w:t xml:space="preserve">  Rather than use the $150 soft-cap structure in the Order for “all short-term ISO and Cal-PX markets,” the filing proposes to use a $250 “hard cap” structure for Adjustment Bids and (as a result) Usage Charges (i.e., Adjustment Bids can’t go above $250, period).  </w:t>
      </w:r>
    </w:p>
    <w:p>
      <w:pPr>
        <w:pStyle w:val="Normal"/>
        <w:rPr>
          <w:sz w:val="18"/>
          <w:szCs w:val="26"/>
        </w:rPr>
      </w:pPr>
      <w:r>
        <w:rPr>
          <w:sz w:val="18"/>
          <w:szCs w:val="26"/>
        </w:rPr>
      </w:r>
    </w:p>
    <w:p>
      <w:pPr>
        <w:pStyle w:val="Normal"/>
        <w:rPr/>
      </w:pPr>
      <w:r>
        <w:rPr>
          <w:rFonts w:cs="Lucida Sans" w:ascii="Lucida Sans" w:hAnsi="Lucida Sans"/>
          <w:b/>
          <w:bCs/>
          <w:szCs w:val="26"/>
          <w:u w:val="single"/>
        </w:rPr>
        <w:t>Rationale:</w:t>
      </w:r>
      <w:r>
        <w:rPr>
          <w:szCs w:val="26"/>
        </w:rPr>
        <w:t xml:space="preserve">  There is a very long and complicated discussion about the way the Cal-PX compiles Adjustment Bids relative to its Unconstrained Market Clearing Price, and why that justifies the ISO hard-cap proposal.  I’ve excerpted this part of the ISO filing letter in the Appendix, in case any of you are particularly interested in wading through it.</w:t>
      </w:r>
    </w:p>
    <w:p>
      <w:pPr>
        <w:pStyle w:val="Normal"/>
        <w:rPr>
          <w:sz w:val="16"/>
          <w:szCs w:val="26"/>
        </w:rPr>
      </w:pPr>
      <w:r>
        <w:rPr>
          <w:sz w:val="16"/>
          <w:szCs w:val="26"/>
        </w:rPr>
      </w:r>
    </w:p>
    <w:p>
      <w:pPr>
        <w:pStyle w:val="Normal"/>
        <w:rPr/>
      </w:pPr>
      <w:r>
        <w:rPr>
          <w:rFonts w:cs="Abadi MT Condensed Light" w:ascii="Abadi MT Condensed Light" w:hAnsi="Abadi MT Condensed Light"/>
          <w:b/>
          <w:bCs/>
          <w:i/>
          <w:iCs/>
          <w:color w:val="333399"/>
          <w:szCs w:val="26"/>
        </w:rPr>
        <w:t>(</w:t>
      </w:r>
      <w:r>
        <w:rPr>
          <w:rFonts w:cs="Abadi MT Condensed Light" w:ascii="Abadi MT Condensed Light" w:hAnsi="Abadi MT Condensed Light"/>
          <w:b/>
          <w:bCs/>
          <w:i/>
          <w:iCs/>
          <w:color w:val="333399"/>
          <w:szCs w:val="26"/>
          <w:u w:val="single"/>
        </w:rPr>
        <w:t>Consultant note:</w:t>
      </w:r>
      <w:r>
        <w:rPr>
          <w:rFonts w:cs="Abadi MT Condensed Light" w:ascii="Abadi MT Condensed Light" w:hAnsi="Abadi MT Condensed Light"/>
          <w:b/>
          <w:bCs/>
          <w:i/>
          <w:iCs/>
          <w:color w:val="333399"/>
          <w:szCs w:val="26"/>
        </w:rPr>
        <w:t xml:space="preserve">  The Cal-PX is the only “affected Scheduling Coordinator” mentioned in the filing letter, so it’s not clear whether any other SCs were consulted in developing this proposal.) </w:t>
      </w:r>
    </w:p>
    <w:p>
      <w:pPr>
        <w:pStyle w:val="Normal"/>
        <w:rPr>
          <w:rFonts w:ascii="Abadi MT Condensed Light" w:hAnsi="Abadi MT Condensed Light" w:cs="Abadi MT Condensed Light"/>
          <w:b/>
          <w:bCs/>
          <w:i/>
          <w:i/>
          <w:iCs/>
          <w:color w:val="333399"/>
          <w:sz w:val="16"/>
          <w:szCs w:val="26"/>
        </w:rPr>
      </w:pPr>
      <w:r>
        <w:rPr>
          <w:rFonts w:cs="Abadi MT Condensed Light" w:ascii="Abadi MT Condensed Light" w:hAnsi="Abadi MT Condensed Light"/>
          <w:b/>
          <w:bCs/>
          <w:i/>
          <w:iCs/>
          <w:color w:val="333399"/>
          <w:sz w:val="16"/>
          <w:szCs w:val="26"/>
        </w:rPr>
      </w:r>
    </w:p>
    <w:p>
      <w:pPr>
        <w:pStyle w:val="Normal"/>
        <w:rPr>
          <w:szCs w:val="26"/>
        </w:rPr>
      </w:pPr>
      <w:r>
        <w:rPr>
          <w:szCs w:val="26"/>
        </w:rPr>
        <w:t>Reasons given by the ISO for proposing the $250 hard cap besides accommodating the Cal-PX are as follows:</w:t>
      </w:r>
    </w:p>
    <w:p>
      <w:pPr>
        <w:pStyle w:val="Normal"/>
        <w:rPr>
          <w:sz w:val="8"/>
          <w:szCs w:val="26"/>
        </w:rPr>
      </w:pPr>
      <w:r>
        <w:rPr>
          <w:sz w:val="8"/>
          <w:szCs w:val="26"/>
        </w:rPr>
      </w:r>
    </w:p>
    <w:p>
      <w:pPr>
        <w:pStyle w:val="Normal"/>
        <w:numPr>
          <w:ilvl w:val="0"/>
          <w:numId w:val="3"/>
        </w:numPr>
        <w:rPr>
          <w:szCs w:val="26"/>
        </w:rPr>
      </w:pPr>
      <w:r>
        <w:rPr>
          <w:szCs w:val="26"/>
        </w:rPr>
        <w:t>The ISO can’t implement a soft cap structure for Adjustment Bids by January 1</w:t>
      </w:r>
      <w:r>
        <w:rPr>
          <w:szCs w:val="26"/>
          <w:vertAlign w:val="superscript"/>
        </w:rPr>
        <w:t>st</w:t>
      </w:r>
      <w:r>
        <w:rPr>
          <w:szCs w:val="26"/>
        </w:rPr>
        <w:t>;</w:t>
      </w:r>
    </w:p>
    <w:p>
      <w:pPr>
        <w:pStyle w:val="Normal"/>
        <w:rPr>
          <w:sz w:val="12"/>
          <w:szCs w:val="26"/>
        </w:rPr>
      </w:pPr>
      <w:r>
        <w:rPr>
          <w:sz w:val="12"/>
          <w:szCs w:val="26"/>
        </w:rPr>
      </w:r>
    </w:p>
    <w:p>
      <w:pPr>
        <w:pStyle w:val="Normal"/>
        <w:numPr>
          <w:ilvl w:val="0"/>
          <w:numId w:val="3"/>
        </w:numPr>
        <w:rPr>
          <w:szCs w:val="26"/>
        </w:rPr>
      </w:pPr>
      <w:r>
        <w:rPr>
          <w:szCs w:val="26"/>
        </w:rPr>
        <w:t xml:space="preserve">A soft cap would be inconsistent with the “sole purpose of Adjustment Bids” which is, according to the filing letter, “to permit Market Participants to indicate the value they place on use of constrained transmission paths” and “establish a marginal value for use of a constrained path.”  </w:t>
      </w:r>
    </w:p>
    <w:p>
      <w:pPr>
        <w:pStyle w:val="Normal"/>
        <w:rPr>
          <w:sz w:val="12"/>
          <w:szCs w:val="26"/>
        </w:rPr>
      </w:pPr>
      <w:r>
        <w:rPr>
          <w:sz w:val="12"/>
          <w:szCs w:val="26"/>
        </w:rPr>
      </w:r>
    </w:p>
    <w:p>
      <w:pPr>
        <w:pStyle w:val="Normal"/>
        <w:numPr>
          <w:ilvl w:val="0"/>
          <w:numId w:val="3"/>
        </w:numPr>
        <w:rPr>
          <w:szCs w:val="26"/>
        </w:rPr>
      </w:pPr>
      <w:r>
        <w:rPr>
          <w:szCs w:val="26"/>
        </w:rPr>
        <w:t>“…</w:t>
      </w:r>
      <w:r>
        <w:rPr>
          <w:szCs w:val="26"/>
        </w:rPr>
        <w:t>if the overriding objective of the Commission’s price mitigation proposal is to limit the volatility and magnitude of prices, it may be more appropriate to focus on the manner in which prices are set in the Energy markets, as opposed to the Congestion Management market.”</w:t>
      </w:r>
    </w:p>
    <w:p>
      <w:pPr>
        <w:pStyle w:val="Footer"/>
        <w:tabs>
          <w:tab w:val="clear" w:pos="4320"/>
          <w:tab w:val="clear" w:pos="8640"/>
        </w:tabs>
        <w:rPr>
          <w:szCs w:val="26"/>
        </w:rPr>
      </w:pPr>
      <w:r>
        <w:rPr>
          <w:szCs w:val="26"/>
        </w:rPr>
      </w:r>
    </w:p>
    <w:p>
      <w:pPr>
        <w:pStyle w:val="Normal"/>
        <w:autoSpaceDE w:val="false"/>
        <w:ind w:start="360" w:end="0"/>
        <w:jc w:val="center"/>
        <w:rPr>
          <w:rFonts w:ascii="Arial" w:hAnsi="Arial" w:cs="Arial"/>
          <w:szCs w:val="26"/>
        </w:rPr>
      </w:pPr>
      <w:r>
        <w:rPr>
          <w:rFonts w:cs="Arial" w:ascii="Arial" w:hAnsi="Arial"/>
          <w:b/>
          <w:bCs/>
          <w:szCs w:val="26"/>
          <w:u w:val="single"/>
        </w:rPr>
        <w:t>New ISO reporting requirements</w:t>
      </w:r>
    </w:p>
    <w:p>
      <w:pPr>
        <w:pStyle w:val="Normal"/>
        <w:autoSpaceDE w:val="false"/>
        <w:ind w:start="360" w:end="0"/>
        <w:rPr>
          <w:rFonts w:ascii="Arial" w:hAnsi="Arial" w:cs="Arial"/>
          <w:sz w:val="8"/>
          <w:szCs w:val="26"/>
        </w:rPr>
      </w:pPr>
      <w:r>
        <w:rPr>
          <w:rFonts w:cs="Arial" w:ascii="Arial" w:hAnsi="Arial"/>
          <w:sz w:val="8"/>
          <w:szCs w:val="26"/>
        </w:rPr>
      </w:r>
    </w:p>
    <w:p>
      <w:pPr>
        <w:pStyle w:val="Heading8"/>
        <w:tabs>
          <w:tab w:val="clear" w:pos="360"/>
        </w:tabs>
        <w:autoSpaceDE w:val="false"/>
        <w:rPr>
          <w:szCs w:val="26"/>
        </w:rPr>
      </w:pPr>
      <w:r>
        <w:rPr>
          <w:szCs w:val="26"/>
        </w:rPr>
        <w:t>FERC Order</w:t>
      </w:r>
    </w:p>
    <w:p>
      <w:pPr>
        <w:pStyle w:val="Normal"/>
        <w:autoSpaceDE w:val="false"/>
        <w:ind w:start="360" w:end="0"/>
        <w:rPr/>
      </w:pPr>
      <w:r>
        <w:rPr>
          <w:szCs w:val="26"/>
        </w:rPr>
        <w:t>Requires a confidential monthly report on all bids &gt;$150 (the “soft” price cap), including seller name, price/MW amount, hours, market bid sufficiency (amount bid vs. amount needed), and loads at the time, and unit availability for all Participating Generators.   The reports would be filed on the 15</w:t>
      </w:r>
      <w:r>
        <w:rPr>
          <w:szCs w:val="26"/>
          <w:vertAlign w:val="superscript"/>
        </w:rPr>
        <w:t>th</w:t>
      </w:r>
      <w:r>
        <w:rPr>
          <w:szCs w:val="26"/>
        </w:rPr>
        <w:t xml:space="preserve"> of the month for the prior calendar month, beginning on February 15</w:t>
      </w:r>
      <w:r>
        <w:rPr>
          <w:szCs w:val="26"/>
          <w:vertAlign w:val="superscript"/>
        </w:rPr>
        <w:t>th</w:t>
      </w:r>
      <w:r>
        <w:rPr>
          <w:szCs w:val="26"/>
        </w:rPr>
        <w:t xml:space="preserve">, 2001 for January 2001.  The exact content of the reports will be worked out between the FERC staff and the ISO representatives.  </w:t>
      </w:r>
    </w:p>
    <w:p>
      <w:pPr>
        <w:pStyle w:val="Normal"/>
        <w:autoSpaceDE w:val="false"/>
        <w:ind w:start="360" w:end="0"/>
        <w:rPr>
          <w:sz w:val="16"/>
          <w:szCs w:val="26"/>
        </w:rPr>
      </w:pPr>
      <w:r>
        <w:rPr>
          <w:sz w:val="16"/>
          <w:szCs w:val="26"/>
        </w:rPr>
      </w:r>
    </w:p>
    <w:p>
      <w:pPr>
        <w:pStyle w:val="Heading8"/>
        <w:tabs>
          <w:tab w:val="clear" w:pos="360"/>
        </w:tabs>
        <w:autoSpaceDE w:val="false"/>
        <w:rPr/>
      </w:pPr>
      <w:r>
        <w:rPr>
          <w:szCs w:val="26"/>
        </w:rPr>
        <w:t>ISO Compliance Filing</w:t>
      </w:r>
      <w:r>
        <w:rPr>
          <w:rFonts w:cs="Times New Roman" w:ascii="Times New Roman" w:hAnsi="Times New Roman"/>
          <w:b w:val="false"/>
          <w:bCs w:val="false"/>
          <w:szCs w:val="26"/>
          <w:u w:val="none"/>
        </w:rPr>
        <w:t>:  Not mentioned in the filing.</w:t>
      </w:r>
    </w:p>
    <w:p>
      <w:pPr>
        <w:pStyle w:val="Normal"/>
        <w:rPr>
          <w:rFonts w:ascii="Times New Roman" w:hAnsi="Times New Roman" w:cs="Times New Roman"/>
          <w:b/>
          <w:bCs/>
          <w:szCs w:val="26"/>
          <w:u w:val="none"/>
        </w:rPr>
      </w:pPr>
      <w:r>
        <w:rPr>
          <w:rFonts w:cs="Times New Roman"/>
          <w:b/>
          <w:bCs/>
          <w:szCs w:val="26"/>
          <w:u w:val="none"/>
        </w:rPr>
      </w:r>
    </w:p>
    <w:p>
      <w:pPr>
        <w:pStyle w:val="Heading1"/>
        <w:ind w:hanging="0" w:start="0"/>
        <w:rPr/>
      </w:pPr>
      <w:r>
        <w:rPr/>
        <w:t>Refund liability of generators</w:t>
      </w:r>
    </w:p>
    <w:p>
      <w:pPr>
        <w:pStyle w:val="Normal"/>
        <w:rPr>
          <w:sz w:val="8"/>
          <w:szCs w:val="26"/>
        </w:rPr>
      </w:pPr>
      <w:r>
        <w:rPr>
          <w:sz w:val="8"/>
          <w:szCs w:val="26"/>
        </w:rPr>
      </w:r>
    </w:p>
    <w:p>
      <w:pPr>
        <w:pStyle w:val="Heading3"/>
        <w:ind w:hanging="0" w:start="0"/>
        <w:rPr>
          <w:szCs w:val="20"/>
        </w:rPr>
      </w:pPr>
      <w:r>
        <w:rPr>
          <w:szCs w:val="20"/>
        </w:rPr>
        <w:t>FERC Order</w:t>
      </w:r>
    </w:p>
    <w:p>
      <w:pPr>
        <w:pStyle w:val="Normal"/>
        <w:numPr>
          <w:ilvl w:val="2"/>
          <w:numId w:val="3"/>
        </w:numPr>
        <w:tabs>
          <w:tab w:val="left" w:pos="720" w:leader="none"/>
        </w:tabs>
        <w:ind w:hanging="360" w:start="720" w:end="0"/>
        <w:rPr/>
      </w:pPr>
      <w:r>
        <w:rPr>
          <w:rFonts w:cs="Lucida Sans" w:ascii="Lucida Sans" w:hAnsi="Lucida Sans"/>
          <w:b/>
          <w:bCs/>
          <w:u w:val="single"/>
        </w:rPr>
        <w:t>Effective date:</w:t>
      </w:r>
      <w:r>
        <w:rPr/>
        <w:t xml:space="preserve">  Grants SDG&amp;E request to establish a refund effective date of October 2</w:t>
      </w:r>
      <w:r>
        <w:rPr>
          <w:vertAlign w:val="superscript"/>
        </w:rPr>
        <w:t>nd</w:t>
      </w:r>
      <w:r>
        <w:rPr/>
        <w:t>.</w:t>
      </w:r>
    </w:p>
    <w:p>
      <w:pPr>
        <w:pStyle w:val="Normal"/>
        <w:tabs>
          <w:tab w:val="left" w:pos="720" w:leader="none"/>
        </w:tabs>
        <w:ind w:hanging="360" w:start="720" w:end="0"/>
        <w:rPr>
          <w:sz w:val="16"/>
        </w:rPr>
      </w:pPr>
      <w:r>
        <w:rPr>
          <w:sz w:val="16"/>
        </w:rPr>
      </w:r>
    </w:p>
    <w:p>
      <w:pPr>
        <w:pStyle w:val="Normal"/>
        <w:numPr>
          <w:ilvl w:val="2"/>
          <w:numId w:val="3"/>
        </w:numPr>
        <w:tabs>
          <w:tab w:val="left" w:pos="720" w:leader="none"/>
        </w:tabs>
        <w:ind w:hanging="360" w:start="720" w:end="0"/>
        <w:rPr>
          <w:szCs w:val="26"/>
        </w:rPr>
      </w:pPr>
      <w:r>
        <w:rPr>
          <w:rFonts w:cs="Lucida Sans" w:ascii="Lucida Sans" w:hAnsi="Lucida Sans"/>
          <w:b/>
          <w:bCs/>
          <w:u w:val="single"/>
        </w:rPr>
        <w:t>Basis for refunds:</w:t>
      </w:r>
      <w:r>
        <w:rPr/>
        <w:t xml:space="preserve">  Provides that refunds may be ordered if “the </w:t>
      </w:r>
      <w:r>
        <w:rPr>
          <w:szCs w:val="26"/>
        </w:rPr>
        <w:t>Commission finds that the wholesale markets in California are unable to produce competitive, just and reasonable prices, or that market power or other individual seller conduct is exercised to produce an unjust and unreasonable rate.”  However, any refunds will be limited to amounts above the seller's marginal costs.</w:t>
      </w:r>
    </w:p>
    <w:p>
      <w:pPr>
        <w:pStyle w:val="Normal"/>
        <w:tabs>
          <w:tab w:val="left" w:pos="720" w:leader="none"/>
        </w:tabs>
        <w:ind w:hanging="360" w:start="720" w:end="0"/>
        <w:rPr>
          <w:sz w:val="16"/>
          <w:szCs w:val="26"/>
        </w:rPr>
      </w:pPr>
      <w:r>
        <w:rPr>
          <w:sz w:val="16"/>
          <w:szCs w:val="26"/>
        </w:rPr>
      </w:r>
    </w:p>
    <w:p>
      <w:pPr>
        <w:pStyle w:val="Normal"/>
        <w:numPr>
          <w:ilvl w:val="2"/>
          <w:numId w:val="3"/>
        </w:numPr>
        <w:tabs>
          <w:tab w:val="left" w:pos="720" w:leader="none"/>
        </w:tabs>
        <w:ind w:hanging="360" w:start="720" w:end="0"/>
        <w:rPr/>
      </w:pPr>
      <w:r>
        <w:rPr>
          <w:rFonts w:cs="Lucida Sans" w:ascii="Lucida Sans" w:hAnsi="Lucida Sans"/>
          <w:b/>
          <w:bCs/>
          <w:u w:val="single"/>
        </w:rPr>
        <w:t>Refund obligation period:</w:t>
      </w:r>
      <w:r>
        <w:rPr/>
        <w:t xml:space="preserve">  Seller refund obligation will expire within 60 days unless FERC sends seller written notice that the transaction is still under review.  If notice is sent, the refund liability will continue until the review is terminated by issuance of a final FERC staff letter or Commission order.</w:t>
      </w:r>
    </w:p>
    <w:p>
      <w:pPr>
        <w:pStyle w:val="Normal"/>
        <w:rPr>
          <w:sz w:val="16"/>
        </w:rPr>
      </w:pPr>
      <w:r>
        <w:rPr>
          <w:sz w:val="16"/>
        </w:rPr>
      </w:r>
    </w:p>
    <w:p>
      <w:pPr>
        <w:pStyle w:val="Normal"/>
        <w:rPr/>
      </w:pPr>
      <w:r>
        <w:rPr>
          <w:rFonts w:cs="BookmanITC Lt BT" w:ascii="BookmanITC Lt BT" w:hAnsi="BookmanITC Lt BT"/>
          <w:b/>
          <w:bCs/>
          <w:u w:val="single"/>
        </w:rPr>
        <w:t>ISO Compliance Filing:</w:t>
      </w:r>
      <w:r>
        <w:rPr/>
        <w:t xml:space="preserve">  None of these provisions are mentioned in the filing</w:t>
      </w:r>
    </w:p>
    <w:p>
      <w:pPr>
        <w:pStyle w:val="Normal"/>
        <w:rPr/>
      </w:pPr>
      <w:r>
        <w:rPr/>
      </w:r>
    </w:p>
    <w:p>
      <w:pPr>
        <w:pStyle w:val="Normal"/>
        <w:rPr>
          <w:sz w:val="12"/>
        </w:rPr>
      </w:pPr>
      <w:r>
        <w:rPr>
          <w:sz w:val="12"/>
        </w:rPr>
      </w:r>
    </w:p>
    <w:p>
      <w:pPr>
        <w:pStyle w:val="Heading1"/>
        <w:ind w:hanging="0" w:start="0"/>
        <w:rPr/>
      </w:pPr>
      <w:r>
        <w:rPr/>
        <w:t xml:space="preserve">Manual/estimated billing procedures related to implementation </w:t>
      </w:r>
    </w:p>
    <w:p>
      <w:pPr>
        <w:pStyle w:val="Normal"/>
        <w:rPr>
          <w:sz w:val="8"/>
        </w:rPr>
      </w:pPr>
      <w:r>
        <w:rPr>
          <w:sz w:val="8"/>
        </w:rPr>
      </w:r>
    </w:p>
    <w:p>
      <w:pPr>
        <w:pStyle w:val="Heading3"/>
        <w:ind w:hanging="0" w:start="0"/>
        <w:rPr>
          <w:szCs w:val="20"/>
        </w:rPr>
      </w:pPr>
      <w:r>
        <w:rPr>
          <w:szCs w:val="20"/>
        </w:rPr>
        <w:t>FERC Order</w:t>
      </w:r>
    </w:p>
    <w:p>
      <w:pPr>
        <w:pStyle w:val="Normal"/>
        <w:rPr/>
      </w:pPr>
      <w:r>
        <w:rPr/>
        <w:t>The ISO is authorized to implement a blended manual/automated system to:</w:t>
      </w:r>
    </w:p>
    <w:p>
      <w:pPr>
        <w:pStyle w:val="Normal"/>
        <w:ind w:start="360" w:end="0"/>
        <w:rPr>
          <w:sz w:val="8"/>
        </w:rPr>
      </w:pPr>
      <w:r>
        <w:rPr>
          <w:sz w:val="8"/>
        </w:rPr>
      </w:r>
    </w:p>
    <w:p>
      <w:pPr>
        <w:pStyle w:val="Normal"/>
        <w:numPr>
          <w:ilvl w:val="2"/>
          <w:numId w:val="3"/>
        </w:numPr>
        <w:tabs>
          <w:tab w:val="left" w:pos="720" w:leader="none"/>
        </w:tabs>
        <w:ind w:hanging="360" w:start="720" w:end="0"/>
        <w:rPr/>
      </w:pPr>
      <w:r>
        <w:rPr/>
        <w:t>Record the bids over $150, which will be subject to downward revision by FERC (requiring settlement re-runs);  and</w:t>
      </w:r>
    </w:p>
    <w:p>
      <w:pPr>
        <w:pStyle w:val="Normal"/>
        <w:tabs>
          <w:tab w:val="left" w:pos="720" w:leader="none"/>
        </w:tabs>
        <w:ind w:hanging="360" w:start="720" w:end="0"/>
        <w:rPr>
          <w:sz w:val="12"/>
        </w:rPr>
      </w:pPr>
      <w:r>
        <w:rPr>
          <w:sz w:val="12"/>
        </w:rPr>
      </w:r>
    </w:p>
    <w:p>
      <w:pPr>
        <w:pStyle w:val="Normal"/>
        <w:numPr>
          <w:ilvl w:val="2"/>
          <w:numId w:val="3"/>
        </w:numPr>
        <w:tabs>
          <w:tab w:val="left" w:pos="720" w:leader="none"/>
        </w:tabs>
        <w:ind w:hanging="360" w:start="720" w:end="0"/>
        <w:rPr/>
      </w:pPr>
      <w:r>
        <w:rPr/>
        <w:t xml:space="preserve">Place “disputed imbalanced in billings and payments” in “temporary escrow accounts prior to final billings.” </w:t>
      </w:r>
    </w:p>
    <w:p>
      <w:pPr>
        <w:pStyle w:val="Normal"/>
        <w:rPr>
          <w:sz w:val="16"/>
        </w:rPr>
      </w:pPr>
      <w:r>
        <w:rPr>
          <w:sz w:val="16"/>
        </w:rPr>
      </w:r>
    </w:p>
    <w:p>
      <w:pPr>
        <w:pStyle w:val="Normal"/>
        <w:rPr/>
      </w:pPr>
      <w:r>
        <w:rPr/>
        <w:t>The ISO is required to automate this procedure by May 1</w:t>
      </w:r>
      <w:r>
        <w:rPr>
          <w:vertAlign w:val="superscript"/>
        </w:rPr>
        <w:t>st</w:t>
      </w:r>
      <w:r>
        <w:rPr/>
        <w:t>.</w:t>
      </w:r>
    </w:p>
    <w:p>
      <w:pPr>
        <w:pStyle w:val="Normal"/>
        <w:ind w:firstLine="900" w:end="0"/>
        <w:rPr>
          <w:color w:val="800000"/>
          <w:sz w:val="16"/>
        </w:rPr>
      </w:pPr>
      <w:r>
        <w:rPr>
          <w:color w:val="800000"/>
          <w:sz w:val="16"/>
        </w:rPr>
      </w:r>
    </w:p>
    <w:p>
      <w:pPr>
        <w:pStyle w:val="Footer"/>
        <w:tabs>
          <w:tab w:val="clear" w:pos="4320"/>
          <w:tab w:val="clear" w:pos="8640"/>
        </w:tabs>
        <w:rPr/>
      </w:pPr>
      <w:r>
        <w:rPr>
          <w:rFonts w:cs="BookmanITC Lt BT" w:ascii="BookmanITC Lt BT" w:hAnsi="BookmanITC Lt BT"/>
          <w:b/>
          <w:bCs/>
          <w:u w:val="single"/>
        </w:rPr>
        <w:t>ISO Compliance Filing:</w:t>
      </w:r>
      <w:r>
        <w:rPr>
          <w:rFonts w:cs="BookmanITC Lt BT" w:ascii="BookmanITC Lt BT" w:hAnsi="BookmanITC Lt BT"/>
          <w:b/>
          <w:bCs/>
        </w:rPr>
        <w:t xml:space="preserve">  </w:t>
      </w:r>
      <w:r>
        <w:rPr/>
        <w:t>The ISO can implement the new system without any estimated billing procedures and plans to do so.</w:t>
      </w:r>
    </w:p>
    <w:p>
      <w:pPr>
        <w:pStyle w:val="Normal"/>
        <w:rPr>
          <w:color w:val="800000"/>
        </w:rPr>
      </w:pPr>
      <w:r>
        <w:rPr>
          <w:color w:val="800000"/>
        </w:rPr>
      </w:r>
    </w:p>
    <w:p>
      <w:pPr>
        <w:pStyle w:val="Heading1"/>
        <w:ind w:hanging="0" w:start="0"/>
        <w:rPr/>
      </w:pPr>
      <w:r>
        <w:rPr/>
        <w:t>Other interesting elements of the filing</w:t>
      </w:r>
    </w:p>
    <w:p>
      <w:pPr>
        <w:pStyle w:val="Normal"/>
        <w:ind w:start="360" w:end="0"/>
        <w:rPr>
          <w:sz w:val="8"/>
        </w:rPr>
      </w:pPr>
      <w:r>
        <w:rPr>
          <w:sz w:val="8"/>
        </w:rPr>
      </w:r>
    </w:p>
    <w:p>
      <w:pPr>
        <w:pStyle w:val="Normal"/>
        <w:jc w:val="center"/>
        <w:rPr>
          <w:rFonts w:ascii="Arial" w:hAnsi="Arial" w:cs="Arial"/>
          <w:b/>
          <w:bCs/>
          <w:u w:val="single"/>
        </w:rPr>
      </w:pPr>
      <w:r>
        <w:rPr>
          <w:rFonts w:cs="Arial" w:ascii="Arial" w:hAnsi="Arial"/>
          <w:b/>
          <w:bCs/>
          <w:u w:val="single"/>
        </w:rPr>
        <w:t>Incorrect Market-Clearing Prices (MCPs)</w:t>
      </w:r>
    </w:p>
    <w:p>
      <w:pPr>
        <w:pStyle w:val="Normal"/>
        <w:jc w:val="center"/>
        <w:rPr>
          <w:rFonts w:ascii="Arial" w:hAnsi="Arial" w:cs="Arial"/>
          <w:b/>
          <w:bCs/>
          <w:sz w:val="8"/>
          <w:u w:val="single"/>
        </w:rPr>
      </w:pPr>
      <w:r>
        <w:rPr>
          <w:rFonts w:cs="Arial" w:ascii="Arial" w:hAnsi="Arial"/>
          <w:b/>
          <w:bCs/>
          <w:sz w:val="8"/>
          <w:u w:val="single"/>
        </w:rPr>
      </w:r>
    </w:p>
    <w:p>
      <w:pPr>
        <w:pStyle w:val="Normal"/>
        <w:rPr/>
      </w:pPr>
      <w:r>
        <w:rPr/>
        <w:t>For some time after the implementation of the $250 soft cap on December 8</w:t>
      </w:r>
      <w:r>
        <w:rPr>
          <w:vertAlign w:val="superscript"/>
        </w:rPr>
        <w:t>th</w:t>
      </w:r>
      <w:r>
        <w:rPr/>
        <w:t>, the ISO software apparently was automatically setting the MCP at the soft cap level whenever an above-cap bid was accepted, rather than using only bids below the cap to set the MCP.</w:t>
      </w:r>
    </w:p>
    <w:p>
      <w:pPr>
        <w:pStyle w:val="Normal"/>
        <w:rPr>
          <w:sz w:val="16"/>
        </w:rPr>
      </w:pPr>
      <w:r>
        <w:rPr>
          <w:sz w:val="16"/>
        </w:rPr>
      </w:r>
    </w:p>
    <w:p>
      <w:pPr>
        <w:pStyle w:val="Normal"/>
        <w:rPr/>
      </w:pPr>
      <w:r>
        <w:rPr/>
        <w:t>For example, if an above-cap was accepted, but the highest bid below the cap was $200, the MCP should be $200, since above-cap bids can’t affect the MCP.  However, the ISO software was setting the MCP at $250 in that situation.</w:t>
      </w:r>
    </w:p>
    <w:p>
      <w:pPr>
        <w:pStyle w:val="Normal"/>
        <w:rPr>
          <w:sz w:val="16"/>
        </w:rPr>
      </w:pPr>
      <w:r>
        <w:rPr>
          <w:sz w:val="16"/>
        </w:rPr>
      </w:r>
    </w:p>
    <w:p>
      <w:pPr>
        <w:pStyle w:val="Normal"/>
        <w:rPr/>
      </w:pPr>
      <w:r>
        <w:rPr/>
        <w:t>The duration of the problem before it was discovered (and, presumably, corrected) was not specified in the filing.  However, the problem:</w:t>
      </w:r>
    </w:p>
    <w:p>
      <w:pPr>
        <w:pStyle w:val="Normal"/>
        <w:rPr>
          <w:sz w:val="12"/>
        </w:rPr>
      </w:pPr>
      <w:r>
        <w:rPr/>
        <w:t xml:space="preserve"> </w:t>
      </w:r>
    </w:p>
    <w:p>
      <w:pPr>
        <w:pStyle w:val="Normal"/>
        <w:numPr>
          <w:ilvl w:val="3"/>
          <w:numId w:val="3"/>
        </w:numPr>
        <w:tabs>
          <w:tab w:val="left" w:pos="720" w:leader="none"/>
        </w:tabs>
        <w:ind w:hanging="360" w:start="720" w:end="0"/>
        <w:rPr/>
      </w:pPr>
      <w:r>
        <w:rPr>
          <w:b/>
          <w:bCs/>
          <w:i/>
          <w:iCs/>
          <w:u w:val="single"/>
        </w:rPr>
        <w:t>May require corrections</w:t>
      </w:r>
      <w:r>
        <w:rPr/>
        <w:t xml:space="preserve"> to market-clearing prices since December 8</w:t>
      </w:r>
      <w:r>
        <w:rPr>
          <w:vertAlign w:val="superscript"/>
        </w:rPr>
        <w:t>th</w:t>
      </w:r>
      <w:r>
        <w:rPr/>
        <w:t xml:space="preserve"> (and perhaps a few Preliminary Settlement Statements). </w:t>
      </w:r>
    </w:p>
    <w:p>
      <w:pPr>
        <w:pStyle w:val="Normal"/>
        <w:tabs>
          <w:tab w:val="left" w:pos="720" w:leader="none"/>
        </w:tabs>
        <w:ind w:hanging="360" w:start="720" w:end="0"/>
        <w:rPr>
          <w:sz w:val="12"/>
        </w:rPr>
      </w:pPr>
      <w:r>
        <w:rPr>
          <w:sz w:val="12"/>
        </w:rPr>
      </w:r>
    </w:p>
    <w:p>
      <w:pPr>
        <w:pStyle w:val="Normal"/>
        <w:numPr>
          <w:ilvl w:val="3"/>
          <w:numId w:val="3"/>
        </w:numPr>
        <w:tabs>
          <w:tab w:val="left" w:pos="720" w:leader="none"/>
        </w:tabs>
        <w:ind w:hanging="360" w:start="720" w:end="0"/>
        <w:rPr/>
      </w:pPr>
      <w:r>
        <w:rPr>
          <w:b/>
          <w:bCs/>
          <w:i/>
          <w:iCs/>
          <w:u w:val="single"/>
        </w:rPr>
        <w:t>Creates the need for additional manual work</w:t>
      </w:r>
      <w:r>
        <w:rPr/>
        <w:t xml:space="preserve"> to implement the soft cap structure (whether at $250 or $150), to correct for the software “limitation;”  and</w:t>
      </w:r>
    </w:p>
    <w:p>
      <w:pPr>
        <w:pStyle w:val="Normal"/>
        <w:tabs>
          <w:tab w:val="left" w:pos="720" w:leader="none"/>
        </w:tabs>
        <w:ind w:hanging="360" w:start="720" w:end="0"/>
        <w:rPr>
          <w:sz w:val="12"/>
        </w:rPr>
      </w:pPr>
      <w:r>
        <w:rPr>
          <w:sz w:val="12"/>
        </w:rPr>
      </w:r>
    </w:p>
    <w:p>
      <w:pPr>
        <w:pStyle w:val="Normal"/>
        <w:numPr>
          <w:ilvl w:val="3"/>
          <w:numId w:val="3"/>
        </w:numPr>
        <w:tabs>
          <w:tab w:val="left" w:pos="720" w:leader="none"/>
        </w:tabs>
        <w:ind w:hanging="360" w:start="720" w:end="0"/>
        <w:rPr/>
      </w:pPr>
      <w:r>
        <w:rPr>
          <w:b/>
          <w:bCs/>
          <w:i/>
          <w:iCs/>
          <w:u w:val="single"/>
        </w:rPr>
        <w:t>May be the subject of “a future ISO request for clarification or rehearing of the December 15 Order,</w:t>
      </w:r>
      <w:r>
        <w:rPr>
          <w:b/>
          <w:bCs/>
          <w:i/>
          <w:iCs/>
        </w:rPr>
        <w:t>”</w:t>
      </w:r>
      <w:r>
        <w:rPr/>
        <w:t xml:space="preserve"> pending review by the ISO Department of Market Analysis.</w:t>
      </w:r>
    </w:p>
    <w:p>
      <w:pPr>
        <w:pStyle w:val="Normal"/>
        <w:ind w:start="180" w:end="0"/>
        <w:rPr/>
      </w:pPr>
      <w:r>
        <w:rPr/>
      </w:r>
    </w:p>
    <w:p>
      <w:pPr>
        <w:pStyle w:val="Normal"/>
        <w:ind w:hanging="1800" w:start="1800" w:end="0"/>
        <w:jc w:val="center"/>
        <w:rPr>
          <w:rFonts w:ascii="Arial" w:hAnsi="Arial" w:cs="Arial"/>
          <w:b/>
          <w:bCs/>
          <w:u w:val="single"/>
        </w:rPr>
      </w:pPr>
      <w:r>
        <w:rPr>
          <w:rFonts w:cs="Arial" w:ascii="Arial" w:hAnsi="Arial"/>
          <w:b/>
          <w:bCs/>
          <w:u w:val="single"/>
        </w:rPr>
        <w:t>ISO Request for Clarification and/or Rehearing</w:t>
      </w:r>
    </w:p>
    <w:p>
      <w:pPr>
        <w:pStyle w:val="Normal"/>
        <w:ind w:hanging="1800" w:start="1800" w:end="0"/>
        <w:jc w:val="center"/>
        <w:rPr>
          <w:rFonts w:ascii="Arial" w:hAnsi="Arial" w:cs="Arial"/>
          <w:b/>
          <w:bCs/>
          <w:sz w:val="8"/>
          <w:u w:val="single"/>
        </w:rPr>
      </w:pPr>
      <w:r>
        <w:rPr>
          <w:rFonts w:cs="Arial" w:ascii="Arial" w:hAnsi="Arial"/>
          <w:b/>
          <w:bCs/>
          <w:sz w:val="8"/>
          <w:u w:val="single"/>
        </w:rPr>
      </w:r>
    </w:p>
    <w:p>
      <w:pPr>
        <w:pStyle w:val="Normal"/>
        <w:rPr/>
      </w:pPr>
      <w:r>
        <w:rPr/>
        <w:t>Separate from the above issue, the filing letter states that the ISO is still reviewing the Order and plans to file for clarification and/or rehearing of “some of the elements of the Order” on January 16</w:t>
      </w:r>
      <w:r>
        <w:rPr>
          <w:vertAlign w:val="superscript"/>
        </w:rPr>
        <w:t>th</w:t>
      </w:r>
      <w:r>
        <w:rPr/>
        <w:t>, 2001.</w:t>
      </w:r>
    </w:p>
    <w:p>
      <w:pPr>
        <w:pStyle w:val="Normal"/>
        <w:ind w:start="180" w:end="0"/>
        <w:rPr/>
      </w:pPr>
      <w:r>
        <w:rPr/>
      </w:r>
    </w:p>
    <w:p>
      <w:pPr>
        <w:pStyle w:val="Normal"/>
        <w:ind w:start="180" w:end="0"/>
        <w:rPr/>
      </w:pPr>
      <w:r>
        <w:rPr/>
      </w:r>
    </w:p>
    <w:p>
      <w:pPr>
        <w:pStyle w:val="Normal"/>
        <w:ind w:start="180" w:end="0"/>
        <w:rPr/>
      </w:pPr>
      <w:r>
        <w:rPr/>
      </w:r>
    </w:p>
    <w:p>
      <w:pPr>
        <w:pStyle w:val="Normal"/>
        <w:ind w:start="180" w:end="0"/>
        <w:rPr/>
      </w:pPr>
      <w:r>
        <w:rPr/>
      </w:r>
    </w:p>
    <w:p>
      <w:pPr>
        <w:pStyle w:val="Normal"/>
        <w:jc w:val="center"/>
        <w:rPr>
          <w:rFonts w:ascii="Arial" w:hAnsi="Arial" w:cs="Arial"/>
          <w:b/>
          <w:bCs/>
          <w:u w:val="single"/>
        </w:rPr>
      </w:pPr>
      <w:r>
        <w:rPr>
          <w:rFonts w:cs="Arial" w:ascii="Arial" w:hAnsi="Arial"/>
          <w:b/>
          <w:bCs/>
          <w:u w:val="single"/>
        </w:rPr>
        <w:t>RMR pre-dispatch for PG&amp;E units</w:t>
      </w:r>
    </w:p>
    <w:p>
      <w:pPr>
        <w:pStyle w:val="Normal"/>
        <w:jc w:val="center"/>
        <w:rPr>
          <w:rFonts w:ascii="Arial" w:hAnsi="Arial" w:cs="Arial"/>
          <w:b/>
          <w:bCs/>
          <w:sz w:val="8"/>
          <w:u w:val="single"/>
        </w:rPr>
      </w:pPr>
      <w:r>
        <w:rPr>
          <w:rFonts w:cs="Arial" w:ascii="Arial" w:hAnsi="Arial"/>
          <w:b/>
          <w:bCs/>
          <w:sz w:val="8"/>
          <w:u w:val="single"/>
        </w:rPr>
      </w:r>
    </w:p>
    <w:p>
      <w:pPr>
        <w:pStyle w:val="Normal"/>
        <w:rPr/>
      </w:pPr>
      <w:r>
        <w:rPr/>
        <w:t xml:space="preserve">The pre-dispatch provisions in recent ISO tariff amendments require RMR Owners electing the Contract Path (see the </w:t>
      </w:r>
      <w:r>
        <w:rPr>
          <w:b/>
          <w:bCs/>
          <w:i/>
          <w:iCs/>
        </w:rPr>
        <w:t>August 14</w:t>
      </w:r>
      <w:r>
        <w:rPr>
          <w:b/>
          <w:bCs/>
          <w:i/>
          <w:iCs/>
          <w:vertAlign w:val="superscript"/>
        </w:rPr>
        <w:t>th</w:t>
      </w:r>
      <w:r>
        <w:rPr>
          <w:b/>
          <w:bCs/>
          <w:i/>
          <w:iCs/>
        </w:rPr>
        <w:t xml:space="preserve"> </w:t>
      </w:r>
      <w:r>
        <w:rPr>
          <w:b/>
          <w:bCs/>
          <w:i/>
          <w:iCs/>
          <w:color w:val="0000FF"/>
        </w:rPr>
        <w:t>RMR Pre-Dispatch Enhancement Event Report</w:t>
      </w:r>
      <w:r>
        <w:rPr/>
        <w:t xml:space="preserve"> for more explanation) to bid their generation into the PX at a zero price.  However, the Order prohibits IOUs from bidding their generation into the PX, and PG&amp;E owns 6 units with current RMR contracts.</w:t>
      </w:r>
    </w:p>
    <w:p>
      <w:pPr>
        <w:pStyle w:val="Normal"/>
        <w:rPr>
          <w:sz w:val="16"/>
        </w:rPr>
      </w:pPr>
      <w:r>
        <w:rPr>
          <w:sz w:val="16"/>
        </w:rPr>
      </w:r>
    </w:p>
    <w:p>
      <w:pPr>
        <w:pStyle w:val="Normal"/>
        <w:rPr/>
      </w:pPr>
      <w:r>
        <w:rPr/>
        <w:t>The ISO does not propose a tariff amendment or modification of the Order to address this situation.  Instead, it states its belief that this would not violate the Order because PG&amp;E would not be submitting such a bid “at its own discretion or under a regulatory mandate, but due to a contractual (and ISO Tariff) mandate.”</w:t>
      </w:r>
    </w:p>
    <w:p>
      <w:pPr>
        <w:pStyle w:val="Normal"/>
        <w:rPr>
          <w:sz w:val="16"/>
        </w:rPr>
      </w:pPr>
      <w:r>
        <w:rPr>
          <w:sz w:val="16"/>
        </w:rPr>
      </w:r>
    </w:p>
    <w:p>
      <w:pPr>
        <w:pStyle w:val="Normal"/>
        <w:rPr/>
      </w:pPr>
      <w:r>
        <w:rPr>
          <w:rFonts w:cs="Abadi MT Condensed Light" w:ascii="Abadi MT Condensed Light" w:hAnsi="Abadi MT Condensed Light"/>
          <w:b/>
          <w:bCs/>
          <w:i/>
          <w:iCs/>
          <w:color w:val="333399"/>
          <w:u w:val="single"/>
        </w:rPr>
        <w:t>Consultant comments:</w:t>
      </w:r>
      <w:r>
        <w:rPr>
          <w:rFonts w:cs="Abadi MT Condensed Light" w:ascii="Abadi MT Condensed Light" w:hAnsi="Abadi MT Condensed Light"/>
          <w:b/>
          <w:bCs/>
          <w:i/>
          <w:iCs/>
          <w:color w:val="333399"/>
        </w:rPr>
        <w:t xml:space="preserve">  There are some issues that are not addressed in the ISO filing.</w:t>
      </w:r>
    </w:p>
    <w:p>
      <w:pPr>
        <w:pStyle w:val="Normal"/>
        <w:rPr>
          <w:rFonts w:ascii="Abadi MT Condensed Light" w:hAnsi="Abadi MT Condensed Light" w:cs="Abadi MT Condensed Light"/>
          <w:b/>
          <w:bCs/>
          <w:i/>
          <w:i/>
          <w:iCs/>
          <w:color w:val="333399"/>
          <w:sz w:val="8"/>
        </w:rPr>
      </w:pPr>
      <w:r>
        <w:rPr>
          <w:rFonts w:cs="Abadi MT Condensed Light" w:ascii="Abadi MT Condensed Light" w:hAnsi="Abadi MT Condensed Light"/>
          <w:b/>
          <w:bCs/>
          <w:i/>
          <w:iCs/>
          <w:color w:val="333399"/>
          <w:sz w:val="8"/>
        </w:rPr>
      </w:r>
    </w:p>
    <w:p>
      <w:pPr>
        <w:pStyle w:val="Normal"/>
        <w:numPr>
          <w:ilvl w:val="4"/>
          <w:numId w:val="2"/>
        </w:numPr>
        <w:tabs>
          <w:tab w:val="clear" w:pos="720"/>
          <w:tab w:val="left" w:pos="540" w:leader="none"/>
        </w:tabs>
        <w:ind w:hanging="360" w:start="540" w:end="0"/>
        <w:rPr>
          <w:rFonts w:ascii="Abadi MT Condensed Light" w:hAnsi="Abadi MT Condensed Light" w:cs="Abadi MT Condensed Light"/>
          <w:b/>
          <w:bCs/>
          <w:i/>
          <w:i/>
          <w:iCs/>
          <w:color w:val="333399"/>
        </w:rPr>
      </w:pPr>
      <w:r>
        <w:rPr>
          <w:rFonts w:cs="Abadi MT Condensed Light" w:ascii="Abadi MT Condensed Light" w:hAnsi="Abadi MT Condensed Light"/>
          <w:b/>
          <w:bCs/>
          <w:i/>
          <w:iCs/>
          <w:color w:val="333399"/>
        </w:rPr>
        <w:t>If the utility gets to choose whether it will take the Market or Contract Path, and if choosing the Contract Path means that the unit will be bid into the PX, then effectively the utility will have “discretion” about whether or not it will bid the unit into PX.  However, I’m not sure why that would be relevant in any case.</w:t>
      </w:r>
    </w:p>
    <w:p>
      <w:pPr>
        <w:pStyle w:val="Normal"/>
        <w:tabs>
          <w:tab w:val="clear" w:pos="720"/>
          <w:tab w:val="left" w:pos="540" w:leader="none"/>
        </w:tabs>
        <w:ind w:hanging="360" w:start="540" w:end="0"/>
        <w:rPr>
          <w:rFonts w:ascii="Abadi MT Condensed Light" w:hAnsi="Abadi MT Condensed Light" w:cs="Abadi MT Condensed Light"/>
          <w:b/>
          <w:bCs/>
          <w:i/>
          <w:i/>
          <w:iCs/>
          <w:color w:val="333399"/>
          <w:sz w:val="12"/>
        </w:rPr>
      </w:pPr>
      <w:r>
        <w:rPr>
          <w:rFonts w:cs="Abadi MT Condensed Light" w:ascii="Abadi MT Condensed Light" w:hAnsi="Abadi MT Condensed Light"/>
          <w:b/>
          <w:bCs/>
          <w:i/>
          <w:iCs/>
          <w:color w:val="333399"/>
          <w:sz w:val="12"/>
        </w:rPr>
      </w:r>
    </w:p>
    <w:p>
      <w:pPr>
        <w:pStyle w:val="Normal"/>
        <w:numPr>
          <w:ilvl w:val="4"/>
          <w:numId w:val="2"/>
        </w:numPr>
        <w:tabs>
          <w:tab w:val="clear" w:pos="720"/>
          <w:tab w:val="left" w:pos="540" w:leader="none"/>
        </w:tabs>
        <w:ind w:hanging="360" w:start="540" w:end="0"/>
        <w:rPr>
          <w:rFonts w:ascii="Abadi MT Condensed Light" w:hAnsi="Abadi MT Condensed Light" w:cs="Abadi MT Condensed Light"/>
          <w:b/>
          <w:bCs/>
          <w:i/>
          <w:i/>
          <w:iCs/>
          <w:color w:val="333399"/>
        </w:rPr>
      </w:pPr>
      <w:r>
        <w:rPr>
          <w:rFonts w:cs="Abadi MT Condensed Light" w:ascii="Abadi MT Condensed Light" w:hAnsi="Abadi MT Condensed Light"/>
          <w:b/>
          <w:bCs/>
          <w:i/>
          <w:iCs/>
          <w:color w:val="333399"/>
        </w:rPr>
        <w:t xml:space="preserve">More to the point, if the unit is bid into the PX, the ISO will be buying the energy, and PG&amp;E will have to buy more energy from somewhere in the market to replace that energy.  This could undermine FERC’s intent that the IOUs use their own generation to serve their own loads as a way to reduce their exposure from market purchases.  </w:t>
      </w:r>
    </w:p>
    <w:p>
      <w:pPr>
        <w:pStyle w:val="Normal"/>
        <w:rPr>
          <w:rFonts w:ascii="Abadi MT Condensed Light" w:hAnsi="Abadi MT Condensed Light" w:cs="Abadi MT Condensed Light"/>
          <w:b/>
          <w:bCs/>
          <w:i/>
          <w:i/>
          <w:iCs/>
          <w:color w:val="333399"/>
        </w:rPr>
      </w:pPr>
      <w:r>
        <w:rPr>
          <w:rFonts w:cs="Abadi MT Condensed Light" w:ascii="Abadi MT Condensed Light" w:hAnsi="Abadi MT Condensed Light"/>
          <w:b/>
          <w:bCs/>
          <w:i/>
          <w:iCs/>
          <w:color w:val="333399"/>
        </w:rPr>
      </w:r>
      <w:r>
        <w:br w:type="page"/>
      </w:r>
    </w:p>
    <w:p>
      <w:pPr>
        <w:pStyle w:val="Normal"/>
        <w:jc w:val="end"/>
        <w:rPr>
          <w:b/>
          <w:bCs/>
        </w:rPr>
      </w:pPr>
      <w:r>
        <w:rPr>
          <w:b/>
          <w:bCs/>
        </w:rPr>
        <w:t>APPENDIX</w:t>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jc w:val="center"/>
        <w:rPr>
          <w:b/>
          <w:bCs/>
          <w:sz w:val="28"/>
        </w:rPr>
      </w:pPr>
      <w:r>
        <w:rPr>
          <w:b/>
          <w:bCs/>
          <w:sz w:val="28"/>
        </w:rPr>
        <w:t>THE NEED FOR A $250 “HARD CAP” FOR ADJUSTMENT BIDS</w:t>
      </w:r>
    </w:p>
    <w:p>
      <w:pPr>
        <w:pStyle w:val="Normal"/>
        <w:pBdr>
          <w:top w:val="single" w:sz="12" w:space="1" w:color="0000FF" w:shadow="1"/>
          <w:left w:val="single" w:sz="12" w:space="4" w:color="0000FF" w:shadow="1"/>
          <w:bottom w:val="single" w:sz="12" w:space="1" w:color="0000FF" w:shadow="1"/>
          <w:right w:val="single" w:sz="12" w:space="4" w:color="0000FF" w:shadow="1"/>
        </w:pBdr>
        <w:shd w:fill="E0E0E0" w:val="clear"/>
        <w:jc w:val="center"/>
        <w:rPr>
          <w:b/>
          <w:bCs/>
          <w:sz w:val="28"/>
        </w:rPr>
      </w:pPr>
      <w:r>
        <w:rPr>
          <w:b/>
          <w:bCs/>
          <w:sz w:val="28"/>
        </w:rPr>
        <w:t>IN LIGHT OF THE CAL-PX ADJUSTMENT BID STRUCTURE</w:t>
      </w:r>
    </w:p>
    <w:p>
      <w:pPr>
        <w:pStyle w:val="Normal"/>
        <w:jc w:val="center"/>
        <w:rPr>
          <w:b/>
          <w:bCs/>
          <w:sz w:val="8"/>
        </w:rPr>
      </w:pPr>
      <w:r>
        <w:rPr>
          <w:b/>
          <w:bCs/>
          <w:sz w:val="8"/>
        </w:rPr>
      </w:r>
    </w:p>
    <w:p>
      <w:pPr>
        <w:pStyle w:val="BodyText"/>
        <w:pBdr>
          <w:bottom w:val="single" w:sz="6" w:space="1" w:color="000000"/>
        </w:pBdr>
        <w:autoSpaceDE w:val="true"/>
        <w:rPr>
          <w:rFonts w:ascii="Lucida Sans" w:hAnsi="Lucida Sans" w:cs="Lucida Sans"/>
          <w:szCs w:val="20"/>
        </w:rPr>
      </w:pPr>
      <w:r>
        <w:rPr>
          <w:rFonts w:cs="Lucida Sans" w:ascii="Lucida Sans" w:hAnsi="Lucida Sans"/>
          <w:szCs w:val="20"/>
        </w:rPr>
        <w:t>(EXCERPT FROM ISO COMPLIANCE FILING COVER LETTER)</w:t>
      </w:r>
    </w:p>
    <w:p>
      <w:pPr>
        <w:pStyle w:val="BodyText"/>
        <w:autoSpaceDE w:val="true"/>
        <w:rPr>
          <w:rFonts w:ascii="Lucida Sans" w:hAnsi="Lucida Sans" w:cs="Lucida Sans"/>
          <w:sz w:val="8"/>
          <w:szCs w:val="20"/>
        </w:rPr>
      </w:pPr>
      <w:r>
        <w:rPr>
          <w:rFonts w:cs="Lucida Sans" w:ascii="Lucida Sans" w:hAnsi="Lucida Sans"/>
          <w:sz w:val="8"/>
          <w:szCs w:val="20"/>
        </w:rPr>
      </w:r>
    </w:p>
    <w:p>
      <w:pPr>
        <w:pStyle w:val="Normal"/>
        <w:autoSpaceDE w:val="false"/>
        <w:rPr>
          <w:b/>
          <w:bCs/>
          <w:szCs w:val="24"/>
        </w:rPr>
      </w:pPr>
      <w:r>
        <w:rPr>
          <w:b/>
          <w:bCs/>
          <w:szCs w:val="24"/>
        </w:rPr>
        <w:t>IV. THE ISO’S CONGESTION MANAGEMENT PROCESS</w:t>
      </w:r>
    </w:p>
    <w:p>
      <w:pPr>
        <w:pStyle w:val="Normal"/>
        <w:autoSpaceDE w:val="false"/>
        <w:rPr>
          <w:b/>
          <w:bCs/>
          <w:sz w:val="16"/>
          <w:szCs w:val="24"/>
        </w:rPr>
      </w:pPr>
      <w:r>
        <w:rPr>
          <w:b/>
          <w:bCs/>
          <w:sz w:val="16"/>
          <w:szCs w:val="24"/>
        </w:rPr>
      </w:r>
    </w:p>
    <w:p>
      <w:pPr>
        <w:pStyle w:val="Normal"/>
        <w:autoSpaceDE w:val="false"/>
        <w:rPr/>
      </w:pPr>
      <w:r>
        <w:rPr>
          <w:szCs w:val="24"/>
        </w:rPr>
        <w:t>The December 15 Order directs the “ISO, PX and other affected scheduling coordinators to workout the most expeditious way to calculate usage charges for congestion management.” Slip op. at 55. As explained in its comments on the PX's Motion for Emergency Expedited Modification of Amendment No. 33</w:t>
      </w:r>
      <w:r>
        <w:rPr>
          <w:szCs w:val="13"/>
          <w:vertAlign w:val="superscript"/>
        </w:rPr>
        <w:t>7</w:t>
      </w:r>
      <w:r>
        <w:rPr>
          <w:sz w:val="13"/>
          <w:szCs w:val="13"/>
        </w:rPr>
        <w:t xml:space="preserve">, </w:t>
      </w:r>
      <w:r>
        <w:rPr>
          <w:szCs w:val="13"/>
        </w:rPr>
        <w:t>the</w:t>
      </w:r>
      <w:r>
        <w:rPr>
          <w:szCs w:val="24"/>
        </w:rPr>
        <w:t xml:space="preserve"> ISO has already identified an approach for processing Adjustment Bids submitted to the ISO as part of its Congestion Management process. As outlined in the ISO’s comments, the ISO believes that it is appropriate to retain a “hard” cap on Adjustment Bids submitted as part of its Congestion Management process. </w:t>
      </w:r>
    </w:p>
    <w:p>
      <w:pPr>
        <w:pStyle w:val="Normal"/>
        <w:autoSpaceDE w:val="false"/>
        <w:rPr>
          <w:sz w:val="16"/>
          <w:szCs w:val="24"/>
        </w:rPr>
      </w:pPr>
      <w:r>
        <w:rPr>
          <w:sz w:val="16"/>
          <w:szCs w:val="24"/>
        </w:rPr>
      </w:r>
    </w:p>
    <w:p>
      <w:pPr>
        <w:pStyle w:val="Normal"/>
        <w:autoSpaceDE w:val="false"/>
        <w:rPr>
          <w:szCs w:val="24"/>
        </w:rPr>
      </w:pPr>
      <w:r>
        <w:rPr>
          <w:szCs w:val="24"/>
        </w:rPr>
        <w:t xml:space="preserve">First, as a practical matter, the ISO cannot implement a “soft” cap on Adjustment Bids by January 1, 2001. </w:t>
      </w:r>
    </w:p>
    <w:p>
      <w:pPr>
        <w:pStyle w:val="Normal"/>
        <w:autoSpaceDE w:val="false"/>
        <w:rPr>
          <w:sz w:val="16"/>
          <w:szCs w:val="24"/>
        </w:rPr>
      </w:pPr>
      <w:r>
        <w:rPr>
          <w:sz w:val="16"/>
          <w:szCs w:val="24"/>
        </w:rPr>
      </w:r>
    </w:p>
    <w:p>
      <w:pPr>
        <w:pStyle w:val="Normal"/>
        <w:autoSpaceDE w:val="false"/>
        <w:rPr/>
      </w:pPr>
      <w:r>
        <w:rPr>
          <w:szCs w:val="24"/>
        </w:rPr>
        <w:t>More importantly, when considering this issue, it is important to remember that the sole purpose of Adjustment Bids in the ISO’s Congestion Management process is to permit Market Participants to indicate the value they place on use of constrained transmission paths. The ISO uses the Adjustment Bids submitted by Market Participants to determine the marginal value for use of a particular transmission path (</w:t>
      </w:r>
      <w:r>
        <w:rPr>
          <w:sz w:val="25"/>
          <w:szCs w:val="25"/>
        </w:rPr>
        <w:t>i.</w:t>
      </w:r>
      <w:r>
        <w:rPr>
          <w:szCs w:val="24"/>
        </w:rPr>
        <w:t xml:space="preserve">e., the Usage Charge applicable to that constrained path). Therefore, application of the “soft” cap or breakpoint methodology as outlined in the December 15 order makes little sense when the purpose of Adjustment Bids is to establish a marginal value for use of a constrained path.  </w:t>
      </w:r>
    </w:p>
    <w:p>
      <w:pPr>
        <w:pStyle w:val="Normal"/>
        <w:autoSpaceDE w:val="false"/>
        <w:rPr>
          <w:sz w:val="16"/>
          <w:szCs w:val="24"/>
        </w:rPr>
      </w:pPr>
      <w:r>
        <w:rPr>
          <w:sz w:val="16"/>
          <w:szCs w:val="24"/>
        </w:rPr>
      </w:r>
    </w:p>
    <w:p>
      <w:pPr>
        <w:pStyle w:val="Normal"/>
        <w:autoSpaceDE w:val="false"/>
        <w:rPr/>
      </w:pPr>
      <w:r>
        <w:rPr>
          <w:szCs w:val="24"/>
        </w:rPr>
        <w:t>In addition, if the overriding objective of the Commission’s price mitigation proposal is to limit the volatility and magnitude of prices, it may be more appropriate to focus on the manner in which prices are set in the Energy markets, as opposed to the Congestion Management market.</w:t>
      </w:r>
      <w:r>
        <w:rPr>
          <w:szCs w:val="13"/>
          <w:vertAlign w:val="superscript"/>
        </w:rPr>
        <w:t xml:space="preserve">8  </w:t>
      </w:r>
      <w:r>
        <w:rPr>
          <w:szCs w:val="24"/>
        </w:rPr>
        <w:t>Subsequent to the Commission’s Order accepting Amendment No. 33, and consistent with the ISO’s December 11 Comments, the ISO and the PX together implemented certain changes to the way they respectively formulate and process Adjustment Bids. These changes were implemented on December 20, 2000 and are described briefly below:</w:t>
      </w:r>
    </w:p>
    <w:p>
      <w:pPr>
        <w:pStyle w:val="Normal"/>
        <w:autoSpaceDE w:val="false"/>
        <w:rPr>
          <w:sz w:val="16"/>
          <w:szCs w:val="24"/>
        </w:rPr>
      </w:pPr>
      <w:r>
        <w:rPr>
          <w:sz w:val="16"/>
          <w:szCs w:val="24"/>
        </w:rPr>
      </w:r>
    </w:p>
    <w:p>
      <w:pPr>
        <w:pStyle w:val="Normal"/>
        <w:autoSpaceDE w:val="false"/>
        <w:jc w:val="center"/>
        <w:rPr>
          <w:b/>
          <w:bCs/>
          <w:szCs w:val="24"/>
          <w:u w:val="single"/>
        </w:rPr>
      </w:pPr>
      <w:r>
        <w:rPr>
          <w:b/>
          <w:bCs/>
          <w:szCs w:val="24"/>
          <w:u w:val="single"/>
        </w:rPr>
        <w:t>Treatment of PX Adjustment Bids</w:t>
      </w:r>
    </w:p>
    <w:p>
      <w:pPr>
        <w:pStyle w:val="Normal"/>
        <w:autoSpaceDE w:val="false"/>
        <w:rPr>
          <w:szCs w:val="24"/>
        </w:rPr>
      </w:pPr>
      <w:r>
        <w:rPr/>
        <w:t xml:space="preserve">As explained in the ISO’s December 11 Comments, the manner in which the PX uses Adjustment Bids submitted by its participants is, among all Scheduling Coordinators, </w:t>
      </w:r>
    </w:p>
    <w:p>
      <w:pPr>
        <w:pStyle w:val="Normal"/>
        <w:pBdr>
          <w:bottom w:val="single" w:sz="6" w:space="1" w:color="000000"/>
        </w:pBdr>
        <w:autoSpaceDE w:val="false"/>
        <w:rPr>
          <w:szCs w:val="24"/>
        </w:rPr>
      </w:pPr>
      <w:r>
        <w:rPr>
          <w:szCs w:val="24"/>
        </w:rPr>
      </w:r>
    </w:p>
    <w:p>
      <w:pPr>
        <w:pStyle w:val="Normal"/>
        <w:autoSpaceDE w:val="false"/>
        <w:rPr>
          <w:sz w:val="13"/>
          <w:szCs w:val="13"/>
        </w:rPr>
      </w:pPr>
      <w:r>
        <w:rPr>
          <w:sz w:val="13"/>
          <w:szCs w:val="13"/>
        </w:rPr>
        <w:t>7</w:t>
      </w:r>
    </w:p>
    <w:p>
      <w:pPr>
        <w:pStyle w:val="BodyText"/>
        <w:autoSpaceDE w:val="true"/>
        <w:jc w:val="start"/>
        <w:rPr>
          <w:rFonts w:ascii="Times New Roman" w:hAnsi="Times New Roman" w:cs="Times New Roman"/>
          <w:sz w:val="20"/>
        </w:rPr>
      </w:pPr>
      <w:r>
        <w:rPr>
          <w:rFonts w:cs="Times New Roman" w:ascii="Times New Roman" w:hAnsi="Times New Roman"/>
          <w:sz w:val="20"/>
        </w:rPr>
        <w:t>Filed on December 11, 2000 in Docket No. ER01-607-000 (“December 11 Comments”).</w:t>
      </w:r>
    </w:p>
    <w:p>
      <w:pPr>
        <w:pStyle w:val="BodyText"/>
        <w:autoSpaceDE w:val="true"/>
        <w:jc w:val="start"/>
        <w:rPr>
          <w:rFonts w:ascii="Times New Roman" w:hAnsi="Times New Roman" w:cs="Times New Roman"/>
          <w:sz w:val="12"/>
        </w:rPr>
      </w:pPr>
      <w:r>
        <w:rPr>
          <w:rFonts w:cs="Times New Roman" w:ascii="Times New Roman" w:hAnsi="Times New Roman"/>
          <w:sz w:val="12"/>
        </w:rPr>
      </w:r>
    </w:p>
    <w:p>
      <w:pPr>
        <w:pStyle w:val="Normal"/>
        <w:autoSpaceDE w:val="false"/>
        <w:rPr/>
      </w:pPr>
      <w:r>
        <w:rPr>
          <w:sz w:val="14"/>
          <w:szCs w:val="14"/>
        </w:rPr>
        <w:t xml:space="preserve">8 </w:t>
      </w:r>
      <w:r>
        <w:rPr>
          <w:sz w:val="20"/>
        </w:rPr>
        <w:t>As described further below, the manner by which the PX incorporates and uses the Usage</w:t>
      </w:r>
    </w:p>
    <w:p>
      <w:pPr>
        <w:pStyle w:val="Normal"/>
        <w:autoSpaceDE w:val="false"/>
        <w:rPr>
          <w:sz w:val="20"/>
        </w:rPr>
      </w:pPr>
      <w:r>
        <w:rPr>
          <w:sz w:val="20"/>
        </w:rPr>
        <w:t>Charges generated by the ISO is unique to the PX and is not relevant to the ISO’s Congestion</w:t>
      </w:r>
    </w:p>
    <w:p>
      <w:pPr>
        <w:pStyle w:val="BodyText"/>
        <w:autoSpaceDE w:val="true"/>
        <w:jc w:val="start"/>
        <w:rPr>
          <w:rFonts w:ascii="Times New Roman" w:hAnsi="Times New Roman" w:cs="Times New Roman"/>
          <w:szCs w:val="20"/>
        </w:rPr>
      </w:pPr>
      <w:r>
        <w:rPr>
          <w:rFonts w:cs="Times New Roman" w:ascii="Times New Roman" w:hAnsi="Times New Roman"/>
          <w:sz w:val="20"/>
        </w:rPr>
        <w:t>Management process.</w:t>
      </w:r>
    </w:p>
    <w:p>
      <w:pPr>
        <w:pStyle w:val="Footer"/>
        <w:tabs>
          <w:tab w:val="clear" w:pos="4320"/>
          <w:tab w:val="clear" w:pos="8640"/>
        </w:tabs>
        <w:rPr>
          <w:rFonts w:ascii="Times New Roman" w:hAnsi="Times New Roman" w:cs="Times New Roman"/>
          <w:szCs w:val="20"/>
        </w:rPr>
      </w:pPr>
      <w:r>
        <w:rPr>
          <w:rFonts w:cs="Times New Roman"/>
          <w:szCs w:val="20"/>
        </w:rPr>
      </w:r>
    </w:p>
    <w:p>
      <w:pPr>
        <w:pStyle w:val="Normal"/>
        <w:autoSpaceDE w:val="false"/>
        <w:rPr>
          <w:szCs w:val="24"/>
        </w:rPr>
      </w:pPr>
      <w:r>
        <w:rPr/>
        <w:t xml:space="preserve">unique to the PX. Whereas most Scheduling Coordinators submit incremental and </w:t>
      </w:r>
    </w:p>
    <w:p>
      <w:pPr>
        <w:pStyle w:val="Normal"/>
        <w:autoSpaceDE w:val="false"/>
        <w:rPr/>
      </w:pPr>
      <w:r>
        <w:rPr/>
        <w:t xml:space="preserve">decremental bids (which together constitute an Adjustment Bid) with the relative price difference reflecting the price they are willing to pay to use a constrained transmission grid, the PX requires its participants to submit incremental and decremental bids that reflect the marginal cost of their resources and then uses those bids to establish the constrained PX Market Clearing Price in </w:t>
      </w:r>
      <w:r>
        <w:rPr>
          <w:szCs w:val="24"/>
        </w:rPr>
        <w:t>a Zone.</w:t>
      </w:r>
    </w:p>
    <w:p>
      <w:pPr>
        <w:pStyle w:val="Normal"/>
        <w:autoSpaceDE w:val="false"/>
        <w:rPr>
          <w:sz w:val="16"/>
          <w:szCs w:val="24"/>
        </w:rPr>
      </w:pPr>
      <w:r>
        <w:rPr>
          <w:sz w:val="16"/>
          <w:szCs w:val="24"/>
        </w:rPr>
      </w:r>
    </w:p>
    <w:p>
      <w:pPr>
        <w:pStyle w:val="Normal"/>
        <w:autoSpaceDE w:val="false"/>
        <w:rPr>
          <w:szCs w:val="24"/>
        </w:rPr>
      </w:pPr>
      <w:r>
        <w:rPr>
          <w:szCs w:val="24"/>
        </w:rPr>
        <w:t>Specifically, the PX accepts Adjustment Bids submitted by its participants only if they satisfy a strict relationship to the PX Unconstrained Market-clearing Price (“UMCP”), namely:</w:t>
      </w:r>
    </w:p>
    <w:p>
      <w:pPr>
        <w:pStyle w:val="Normal"/>
        <w:autoSpaceDE w:val="false"/>
        <w:rPr>
          <w:sz w:val="8"/>
          <w:szCs w:val="24"/>
        </w:rPr>
      </w:pPr>
      <w:r>
        <w:rPr>
          <w:sz w:val="8"/>
          <w:szCs w:val="24"/>
        </w:rPr>
      </w:r>
    </w:p>
    <w:p>
      <w:pPr>
        <w:pStyle w:val="Normal"/>
        <w:numPr>
          <w:ilvl w:val="2"/>
          <w:numId w:val="3"/>
        </w:numPr>
        <w:tabs>
          <w:tab w:val="left" w:pos="720" w:leader="none"/>
        </w:tabs>
        <w:autoSpaceDE w:val="false"/>
        <w:ind w:hanging="360" w:start="720" w:end="0"/>
        <w:rPr>
          <w:szCs w:val="24"/>
        </w:rPr>
      </w:pPr>
      <w:r>
        <w:rPr>
          <w:szCs w:val="24"/>
        </w:rPr>
        <w:t>Any incremental (“INC”) Adjustment Bid must be greater than or equal to the UMCP.</w:t>
      </w:r>
    </w:p>
    <w:p>
      <w:pPr>
        <w:pStyle w:val="Normal"/>
        <w:tabs>
          <w:tab w:val="left" w:pos="720" w:leader="none"/>
        </w:tabs>
        <w:autoSpaceDE w:val="false"/>
        <w:ind w:hanging="360" w:start="720" w:end="0"/>
        <w:rPr>
          <w:sz w:val="8"/>
          <w:szCs w:val="24"/>
        </w:rPr>
      </w:pPr>
      <w:r>
        <w:rPr>
          <w:sz w:val="8"/>
          <w:szCs w:val="24"/>
        </w:rPr>
      </w:r>
    </w:p>
    <w:p>
      <w:pPr>
        <w:pStyle w:val="Normal"/>
        <w:numPr>
          <w:ilvl w:val="2"/>
          <w:numId w:val="3"/>
        </w:numPr>
        <w:tabs>
          <w:tab w:val="left" w:pos="720" w:leader="none"/>
        </w:tabs>
        <w:autoSpaceDE w:val="false"/>
        <w:ind w:hanging="360" w:start="720" w:end="0"/>
        <w:rPr>
          <w:szCs w:val="24"/>
        </w:rPr>
      </w:pPr>
      <w:r>
        <w:rPr>
          <w:szCs w:val="24"/>
        </w:rPr>
        <w:t>Any decremental (“DEC”) Adjustment Bids must be less than or equal to the UMCP.</w:t>
      </w:r>
    </w:p>
    <w:p>
      <w:pPr>
        <w:pStyle w:val="Footer"/>
        <w:tabs>
          <w:tab w:val="clear" w:pos="4320"/>
          <w:tab w:val="clear" w:pos="8640"/>
        </w:tabs>
        <w:autoSpaceDE w:val="false"/>
        <w:rPr>
          <w:sz w:val="12"/>
          <w:szCs w:val="24"/>
        </w:rPr>
      </w:pPr>
      <w:r>
        <w:rPr>
          <w:sz w:val="12"/>
          <w:szCs w:val="24"/>
        </w:rPr>
      </w:r>
    </w:p>
    <w:p>
      <w:pPr>
        <w:pStyle w:val="Footer"/>
        <w:tabs>
          <w:tab w:val="clear" w:pos="4320"/>
          <w:tab w:val="clear" w:pos="8640"/>
        </w:tabs>
        <w:autoSpaceDE w:val="false"/>
        <w:rPr>
          <w:szCs w:val="24"/>
        </w:rPr>
      </w:pPr>
      <w:r>
        <w:rPr>
          <w:szCs w:val="24"/>
        </w:rPr>
        <w:t>On the other hand, the ISO accepts Adjustment Bids for Day-Ahead and Hour-Ahead</w:t>
      </w:r>
    </w:p>
    <w:p>
      <w:pPr>
        <w:pStyle w:val="Normal"/>
        <w:autoSpaceDE w:val="false"/>
        <w:rPr/>
      </w:pPr>
      <w:r>
        <w:rPr>
          <w:szCs w:val="24"/>
        </w:rPr>
        <w:t>Congestion Management only if they fall within a certain “economic” range (currently set between $0/MWh to $250/MWh).  Prior to December 20, 2000, the combination of these PX and ISO rules prevented the PX participants from submitting INC bids when the PX UMCP was above $250/MWh, as was the case on many occasions after the implementation of the soft cap on the ISO’s Real Time Energy market pursuant to the Amendment No. 33 Order. Since the PX uses both the congestion Usage Charge determined by the ISO (capped at $250) and the marginal PX Adjustment Bid (which must be greater than the UMCP, which was greater than $250) to compute its Constrained Zonal Market-Clearing Price (“CZMCP”), a disconnect between the UMCP and CZMCP resulted, in which the constrained price could be less than the unconstrained price</w:t>
      </w:r>
      <w:r>
        <w:rPr>
          <w:szCs w:val="13"/>
          <w:vertAlign w:val="superscript"/>
        </w:rPr>
        <w:t>9</w:t>
      </w:r>
      <w:r>
        <w:rPr>
          <w:szCs w:val="13"/>
        </w:rPr>
        <w:t>.</w:t>
      </w:r>
    </w:p>
    <w:p>
      <w:pPr>
        <w:pStyle w:val="Normal"/>
        <w:autoSpaceDE w:val="false"/>
        <w:rPr>
          <w:sz w:val="16"/>
          <w:szCs w:val="13"/>
        </w:rPr>
      </w:pPr>
      <w:r>
        <w:rPr>
          <w:sz w:val="16"/>
          <w:szCs w:val="13"/>
        </w:rPr>
      </w:r>
    </w:p>
    <w:p>
      <w:pPr>
        <w:pStyle w:val="Normal"/>
        <w:autoSpaceDE w:val="false"/>
        <w:rPr>
          <w:szCs w:val="24"/>
        </w:rPr>
      </w:pPr>
      <w:r>
        <w:rPr>
          <w:szCs w:val="24"/>
        </w:rPr>
        <w:t>To resolve this problem, the following accommodation was agreed upon and implemented by the ISO and the PX: The PX would keep its current rules, but would restrict the range of INC and DEC bids as follows:</w:t>
      </w:r>
    </w:p>
    <w:p>
      <w:pPr>
        <w:pStyle w:val="Normal"/>
        <w:autoSpaceDE w:val="false"/>
        <w:rPr>
          <w:sz w:val="8"/>
          <w:szCs w:val="24"/>
        </w:rPr>
      </w:pPr>
      <w:r>
        <w:rPr>
          <w:sz w:val="8"/>
          <w:szCs w:val="24"/>
        </w:rPr>
      </w:r>
    </w:p>
    <w:p>
      <w:pPr>
        <w:pStyle w:val="Normal"/>
        <w:numPr>
          <w:ilvl w:val="2"/>
          <w:numId w:val="3"/>
        </w:numPr>
        <w:tabs>
          <w:tab w:val="left" w:pos="720" w:leader="none"/>
        </w:tabs>
        <w:autoSpaceDE w:val="false"/>
        <w:ind w:hanging="360" w:start="720" w:end="0"/>
        <w:rPr>
          <w:szCs w:val="24"/>
        </w:rPr>
      </w:pPr>
      <w:r>
        <w:rPr>
          <w:szCs w:val="24"/>
        </w:rPr>
        <w:t>Any INC Adjustment Bid must be greater than or equal to the UMCP, but no greater than UMCP + 0.5*CAP (where CAP is the Adjustment Bid cap, currently set at $250);</w:t>
      </w:r>
    </w:p>
    <w:p>
      <w:pPr>
        <w:pStyle w:val="Normal"/>
        <w:tabs>
          <w:tab w:val="left" w:pos="720" w:leader="none"/>
        </w:tabs>
        <w:autoSpaceDE w:val="false"/>
        <w:ind w:hanging="360" w:start="720" w:end="0"/>
        <w:rPr>
          <w:sz w:val="8"/>
          <w:szCs w:val="24"/>
        </w:rPr>
      </w:pPr>
      <w:r>
        <w:rPr>
          <w:sz w:val="8"/>
          <w:szCs w:val="24"/>
        </w:rPr>
      </w:r>
    </w:p>
    <w:p>
      <w:pPr>
        <w:pStyle w:val="Normal"/>
        <w:numPr>
          <w:ilvl w:val="2"/>
          <w:numId w:val="3"/>
        </w:numPr>
        <w:tabs>
          <w:tab w:val="left" w:pos="720" w:leader="none"/>
        </w:tabs>
        <w:autoSpaceDE w:val="false"/>
        <w:ind w:hanging="360" w:start="720" w:end="0"/>
        <w:rPr>
          <w:szCs w:val="13"/>
        </w:rPr>
      </w:pPr>
      <w:r>
        <w:rPr>
          <w:szCs w:val="24"/>
        </w:rPr>
        <w:t>Any DEC Adjustment Bid must be less than or equal to the UMCP, but no less than the UMCP – 0.5*CAP (where CAP is the Adjustment Bid cap, currently set at $250).</w:t>
      </w:r>
    </w:p>
    <w:p>
      <w:pPr>
        <w:pStyle w:val="Normal"/>
        <w:pBdr>
          <w:bottom w:val="single" w:sz="6" w:space="1" w:color="000000"/>
        </w:pBdr>
        <w:autoSpaceDE w:val="false"/>
        <w:rPr>
          <w:sz w:val="8"/>
          <w:szCs w:val="13"/>
        </w:rPr>
      </w:pPr>
      <w:r>
        <w:rPr>
          <w:sz w:val="8"/>
          <w:szCs w:val="13"/>
        </w:rPr>
      </w:r>
    </w:p>
    <w:p>
      <w:pPr>
        <w:pStyle w:val="Normal"/>
        <w:autoSpaceDE w:val="false"/>
        <w:rPr>
          <w:szCs w:val="13"/>
        </w:rPr>
      </w:pPr>
      <w:r>
        <w:rPr>
          <w:szCs w:val="13"/>
          <w:vertAlign w:val="superscript"/>
        </w:rPr>
        <w:t xml:space="preserve">9 </w:t>
      </w:r>
      <w:r>
        <w:rPr>
          <w:sz w:val="20"/>
        </w:rPr>
        <w:t>For example, assume congestion from SP15 to NP15, a PX UMCP of $1,000 and the marginal decremental bid selected in SP15 of $250 (which satisfies both PX and ISO market rules.  Since no PX INC bids could be submitted in NP15 without violating the rules of either the PX or the ISO (i.e., no one could submit an INC greater than $250), CONG would use a Default Usage Charge equal to $30 (calculated as the higher of $30 or the Adjustment Bid minus the marginal DEC bid, or $250 -$250 = $0). The PX zonal price calculator would then set the CZMCP at $250 in SP15 (marginal DEC bid selected in CONG) and $30 in NP15 ($250 + $30 = $280). As explained by both the PX and the ISO, this outcome created a disconnect between the PX’s UMCP and CZMCP, since one would expect that constrained zonal prices would be at or above the unconstrained price.</w:t>
      </w:r>
    </w:p>
    <w:p>
      <w:pPr>
        <w:pStyle w:val="Normal"/>
        <w:autoSpaceDE w:val="false"/>
        <w:rPr>
          <w:szCs w:val="13"/>
        </w:rPr>
      </w:pPr>
      <w:r>
        <w:rPr>
          <w:szCs w:val="24"/>
        </w:rPr>
        <w:t>The PX then processes the Adjustment Bids submitted by its participants before sending them to the ISO such that the ISO receives Adjustment Bids in the ISO’s acceptable “economic” range ($0 to $250)</w:t>
      </w:r>
      <w:r>
        <w:rPr>
          <w:szCs w:val="13"/>
        </w:rPr>
        <w:t>.</w:t>
      </w:r>
      <w:r>
        <w:rPr>
          <w:szCs w:val="13"/>
          <w:vertAlign w:val="superscript"/>
        </w:rPr>
        <w:t xml:space="preserve"> 10</w:t>
      </w:r>
    </w:p>
    <w:p>
      <w:pPr>
        <w:pStyle w:val="Normal"/>
        <w:autoSpaceDE w:val="false"/>
        <w:rPr>
          <w:sz w:val="16"/>
          <w:szCs w:val="13"/>
        </w:rPr>
      </w:pPr>
      <w:r>
        <w:rPr>
          <w:sz w:val="16"/>
          <w:szCs w:val="13"/>
        </w:rPr>
      </w:r>
    </w:p>
    <w:p>
      <w:pPr>
        <w:pStyle w:val="Normal"/>
        <w:autoSpaceDE w:val="false"/>
        <w:rPr/>
      </w:pPr>
      <w:r>
        <w:rPr>
          <w:szCs w:val="24"/>
        </w:rPr>
        <w:t xml:space="preserve">Subsequent to the completion of the ISO’s Congestion Management process, the PX would compute its constrained zonal market clearing prices by adding back in the number that was subtracted from the Adjustment Bids ($875 in the example in n. 9, </w:t>
      </w:r>
      <w:r>
        <w:rPr>
          <w:sz w:val="25"/>
          <w:szCs w:val="25"/>
        </w:rPr>
        <w:t>infr</w:t>
      </w:r>
      <w:r>
        <w:rPr>
          <w:szCs w:val="24"/>
        </w:rPr>
        <w:t>a).</w:t>
      </w:r>
    </w:p>
    <w:p>
      <w:pPr>
        <w:pStyle w:val="Normal"/>
        <w:autoSpaceDE w:val="false"/>
        <w:rPr>
          <w:sz w:val="18"/>
          <w:szCs w:val="24"/>
        </w:rPr>
      </w:pPr>
      <w:r>
        <w:rPr>
          <w:sz w:val="18"/>
          <w:szCs w:val="24"/>
        </w:rPr>
      </w:r>
    </w:p>
    <w:p>
      <w:pPr>
        <w:pStyle w:val="Normal"/>
        <w:autoSpaceDE w:val="false"/>
        <w:rPr>
          <w:sz w:val="13"/>
          <w:szCs w:val="13"/>
        </w:rPr>
      </w:pPr>
      <w:r>
        <w:rPr>
          <w:szCs w:val="24"/>
        </w:rPr>
        <w:t>In addition, as is done today, after the ISO’s Congestion Management process is complete, the ISO would utilize unused Adjustment Bids (as well as Supplemental Energy bids) for real time Intra-Zonal Congestion Management. Similar to the approach outlined above, the ISO also would utilize the original Adjustment Bids submitted by the PX participants for purposes of real time Congestion Management.</w:t>
      </w:r>
      <w:r>
        <w:rPr>
          <w:szCs w:val="13"/>
          <w:vertAlign w:val="superscript"/>
        </w:rPr>
        <w:t>11</w:t>
      </w:r>
    </w:p>
    <w:p>
      <w:pPr>
        <w:pStyle w:val="Normal"/>
        <w:autoSpaceDE w:val="false"/>
        <w:rPr>
          <w:sz w:val="16"/>
          <w:szCs w:val="24"/>
        </w:rPr>
      </w:pPr>
      <w:r>
        <w:rPr>
          <w:sz w:val="16"/>
          <w:szCs w:val="24"/>
        </w:rPr>
      </w:r>
    </w:p>
    <w:p>
      <w:pPr>
        <w:pStyle w:val="Footer"/>
        <w:tabs>
          <w:tab w:val="clear" w:pos="4320"/>
          <w:tab w:val="clear" w:pos="8640"/>
        </w:tabs>
        <w:autoSpaceDE w:val="false"/>
        <w:rPr/>
      </w:pPr>
      <w:r>
        <w:rPr/>
        <w:t xml:space="preserve">The ISO believes that the above approach will work with either a hard cap or a soft cap in the PX market. The ISO understands, however, that due to software </w:t>
      </w:r>
      <w:r>
        <w:rPr>
          <w:szCs w:val="24"/>
        </w:rPr>
        <w:t>implementation time requirements, the PX will not be able to implement the soft cap in its markets by January 1, 2000. Thus, unless otherwise directed by the Commission, the ISO will maintain its existing $250 hard cap for Adjustment Bids until the issues raised by the PX in their December 26 request for rehearing and stay of the December 15 Order are resolved.</w:t>
      </w:r>
    </w:p>
    <w:p>
      <w:pPr>
        <w:pStyle w:val="Normal"/>
        <w:autoSpaceDE w:val="false"/>
        <w:rPr>
          <w:rFonts w:ascii="Arial" w:hAnsi="Arial" w:cs="Arial"/>
          <w:szCs w:val="24"/>
        </w:rPr>
      </w:pPr>
      <w:r>
        <w:rPr>
          <w:rFonts w:cs="Arial" w:ascii="Arial" w:hAnsi="Arial"/>
          <w:szCs w:val="24"/>
        </w:rPr>
      </w:r>
    </w:p>
    <w:p>
      <w:pPr>
        <w:pStyle w:val="Footer"/>
        <w:tabs>
          <w:tab w:val="clear" w:pos="4320"/>
          <w:tab w:val="clear" w:pos="8640"/>
        </w:tabs>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autoSpaceDE w:val="false"/>
        <w:rPr>
          <w:rFonts w:ascii="Arial" w:hAnsi="Arial" w:cs="Arial"/>
          <w:szCs w:val="24"/>
        </w:rPr>
      </w:pPr>
      <w:r>
        <w:rPr>
          <w:rFonts w:cs="Arial" w:ascii="Arial" w:hAnsi="Arial"/>
          <w:szCs w:val="24"/>
        </w:rPr>
      </w:r>
    </w:p>
    <w:p>
      <w:pPr>
        <w:pStyle w:val="Normal"/>
        <w:pBdr>
          <w:bottom w:val="single" w:sz="6" w:space="1" w:color="000000"/>
        </w:pBdr>
        <w:autoSpaceDE w:val="false"/>
        <w:rPr>
          <w:rFonts w:ascii="Arial" w:hAnsi="Arial" w:cs="Arial"/>
          <w:szCs w:val="24"/>
        </w:rPr>
      </w:pPr>
      <w:r>
        <w:rPr>
          <w:rFonts w:cs="Arial" w:ascii="Arial" w:hAnsi="Arial"/>
          <w:szCs w:val="24"/>
        </w:rPr>
      </w:r>
    </w:p>
    <w:p>
      <w:pPr>
        <w:pStyle w:val="Normal"/>
        <w:autoSpaceDE w:val="false"/>
        <w:rPr/>
      </w:pPr>
      <w:r>
        <w:rPr>
          <w:szCs w:val="13"/>
          <w:vertAlign w:val="superscript"/>
        </w:rPr>
        <w:t>10</w:t>
      </w:r>
      <w:r>
        <w:rPr>
          <w:sz w:val="20"/>
        </w:rPr>
        <w:t>In order to do this, the PX merely has to apply the formula: AB' = AB - UCMCP + 0.5*CAP to all Adjustment Bids submitted by its participants. In the example described in note 9 above, the PX would accept INC bids above $1125 or below $875 and DEC bids between $875 and $1000. If the PX received an INC bid of $1100, it would change the bid to $1,100 - $1,000 +$125 = $225 before forwarding it to the ISO. Similarly, if the PX received a DEC bid of $900, it would modify that bid to $25 ($900 – ($1,000 - $125)) before submitting it to the ISO.</w:t>
      </w:r>
    </w:p>
    <w:p>
      <w:pPr>
        <w:pStyle w:val="Normal"/>
        <w:autoSpaceDE w:val="false"/>
        <w:rPr>
          <w:sz w:val="20"/>
        </w:rPr>
      </w:pPr>
      <w:r>
        <w:rPr>
          <w:sz w:val="20"/>
        </w:rPr>
      </w:r>
    </w:p>
    <w:p>
      <w:pPr>
        <w:pStyle w:val="Normal"/>
        <w:autoSpaceDE w:val="false"/>
        <w:rPr>
          <w:szCs w:val="24"/>
        </w:rPr>
      </w:pPr>
      <w:r>
        <w:rPr>
          <w:szCs w:val="13"/>
          <w:vertAlign w:val="superscript"/>
        </w:rPr>
        <w:t>11</w:t>
      </w:r>
      <w:r>
        <w:rPr>
          <w:sz w:val="20"/>
        </w:rPr>
        <w:t>In the above situation, the original Adjustment Bids submitted by the PX participants could be negative if the UCMCP is less than $125. For example, if the UCMCP is $75, the PX would accept Adjustment Bids in the range -$50 to $200. Thus, although the ISO would not be using negative Adjustment Bids for purposes of Congestion Management, the Adjustment Bids used for real-time Intra-Zonal Congestion Management may be negative. Since the ISO does allow negative Supplemental Bids for real-time Intra-Zonal Congestion Management, we believe this is consistent with current practice.</w:t>
      </w:r>
    </w:p>
    <w:p>
      <w:pPr>
        <w:pStyle w:val="Footer"/>
        <w:tabs>
          <w:tab w:val="clear" w:pos="4320"/>
          <w:tab w:val="clear" w:pos="8640"/>
        </w:tabs>
        <w:rPr>
          <w:szCs w:val="24"/>
        </w:rPr>
      </w:pPr>
      <w:r>
        <w:rPr>
          <w:szCs w:val="24"/>
        </w:rPr>
      </w:r>
    </w:p>
    <w:sectPr>
      <w:footerReference w:type="default" r:id="rId5"/>
      <w:type w:val="nextPage"/>
      <w:pgSz w:w="12240" w:h="15552"/>
      <w:pgMar w:left="1800" w:right="1800" w:gutter="0" w:header="0" w:top="1440" w:footer="720" w:bottom="1440"/>
      <w:pgBorders w:display="allPages" w:offsetFrom="page">
        <w:top w:val="single" w:sz="2" w:space="24" w:color="0000FF"/>
        <w:left w:val="single" w:sz="2" w:space="24" w:color="0000FF"/>
        <w:bottom w:val="single" w:sz="2" w:space="31" w:color="0000FF"/>
        <w:right w:val="single" w:sz="2" w:space="24" w:color="0000FF"/>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BookmanITC Lt BT">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echnical">
    <w:charset w:val="00" w:characterSet="windows-1252"/>
    <w:family w:val="script"/>
    <w:pitch w:val="variable"/>
  </w:font>
  <w:font w:name="Belwe Bd BT">
    <w:charset w:val="00" w:characterSet="windows-1252"/>
    <w:family w:val="roman"/>
    <w:pitch w:val="variable"/>
  </w:font>
  <w:font w:name="Abadi MT Condensed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lvl w:ilvl="1">
      <w:start w:val="2"/>
      <w:numFmt w:val="bullet"/>
      <w:lvlText w:val=""/>
      <w:lvlJc w:val="start"/>
      <w:pPr>
        <w:tabs>
          <w:tab w:val="num" w:pos="1440"/>
        </w:tabs>
        <w:ind w:start="1440" w:hanging="360"/>
      </w:pPr>
      <w:rPr>
        <w:rFonts w:ascii="Wingdings" w:hAnsi="Wingdings" w:cs="Wingdings" w:hint="default"/>
      </w:rPr>
    </w:lvl>
    <w:lvl w:ilvl="2">
      <w:start w:val="4"/>
      <w:numFmt w:val="bullet"/>
      <w:lvlText w:val=""/>
      <w:lvlJc w:val="start"/>
      <w:pPr>
        <w:tabs>
          <w:tab w:val="num" w:pos="2160"/>
        </w:tabs>
        <w:ind w:start="2160" w:hanging="360"/>
      </w:pPr>
      <w:rPr>
        <w:rFonts w:ascii="Symbol" w:hAnsi="Symbol" w:cs="Symbol" w:hint="default"/>
      </w:rPr>
    </w:lvl>
    <w:lvl w:ilvl="3">
      <w:start w:val="5"/>
      <w:numFmt w:val="bullet"/>
      <w:lvlText w:val="-"/>
      <w:lvlJc w:val="start"/>
      <w:pPr>
        <w:tabs>
          <w:tab w:val="num" w:pos="2880"/>
        </w:tabs>
        <w:ind w:start="2880" w:hanging="360"/>
      </w:pPr>
      <w:rPr>
        <w:rFonts w:ascii="Times New Roman" w:hAnsi="Times New Roman" w:cs="Times New Roman"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3"/>
      <w:numFmt w:val="bullet"/>
      <w:lvlText w:val="-"/>
      <w:lvlJc w:val="start"/>
      <w:pPr>
        <w:tabs>
          <w:tab w:val="num" w:pos="1440"/>
        </w:tabs>
        <w:ind w:start="1440" w:hanging="360"/>
      </w:pPr>
      <w:rPr>
        <w:rFonts w:ascii="Times New Roman" w:hAnsi="Times New Roman" w:cs="Times New Roman" w:hint="default"/>
      </w:rPr>
    </w:lvl>
    <w:lvl w:ilvl="2">
      <w:start w:val="2"/>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decimal"/>
      <w:lvlText w:val="%1."/>
      <w:lvlJc w:val="start"/>
      <w:pPr>
        <w:tabs>
          <w:tab w:val="num" w:pos="756"/>
        </w:tabs>
        <w:ind w:start="756" w:hanging="396"/>
      </w:pPr>
      <w:rPr/>
    </w:lvl>
    <w:lvl w:ilvl="1">
      <w:start w:val="1"/>
      <w:numFmt w:val="lowerLetter"/>
      <w:lvlText w:val="%2."/>
      <w:lvlJc w:val="start"/>
      <w:pPr>
        <w:tabs>
          <w:tab w:val="num" w:pos="1440"/>
        </w:tabs>
        <w:ind w:start="1440" w:hanging="360"/>
      </w:pPr>
    </w:lvl>
    <w:lvl w:ilvl="2">
      <w:start w:val="5"/>
      <w:numFmt w:val="bullet"/>
      <w:lvlText w:val=""/>
      <w:lvlJc w:val="start"/>
      <w:pPr>
        <w:tabs>
          <w:tab w:val="num" w:pos="2340"/>
        </w:tabs>
        <w:ind w:start="234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pBdr>
        <w:top w:val="single" w:sz="12" w:space="1" w:color="0000FF" w:shadow="1"/>
        <w:left w:val="single" w:sz="12" w:space="4" w:color="0000FF" w:shadow="1"/>
        <w:bottom w:val="single" w:sz="12" w:space="1" w:color="0000FF" w:shadow="1"/>
        <w:right w:val="single" w:sz="12" w:space="4" w:color="0000FF" w:shadow="1"/>
      </w:pBdr>
      <w:shd w:fill="E0E0E0" w:val="clear"/>
      <w:outlineLvl w:val="0"/>
    </w:pPr>
    <w:rPr>
      <w:rFonts w:ascii="Lucida Sans" w:hAnsi="Lucida Sans" w:cs="Lucida Sans"/>
      <w:b/>
      <w:bCs/>
      <w:sz w:val="28"/>
    </w:rPr>
  </w:style>
  <w:style w:type="paragraph" w:styleId="Heading2">
    <w:name w:val="heading 2"/>
    <w:basedOn w:val="Normal"/>
    <w:next w:val="Normal"/>
    <w:qFormat/>
    <w:pPr>
      <w:keepNext w:val="true"/>
      <w:numPr>
        <w:ilvl w:val="1"/>
        <w:numId w:val="1"/>
      </w:numPr>
      <w:autoSpaceDE w:val="false"/>
      <w:ind w:hanging="0" w:start="720" w:end="0"/>
      <w:outlineLvl w:val="1"/>
    </w:pPr>
    <w:rPr>
      <w:rFonts w:ascii="Lucida Sans" w:hAnsi="Lucida Sans" w:cs="Lucida Sans"/>
      <w:b/>
      <w:bCs/>
      <w:szCs w:val="26"/>
      <w:u w:val="single"/>
    </w:rPr>
  </w:style>
  <w:style w:type="paragraph" w:styleId="Heading3">
    <w:name w:val="heading 3"/>
    <w:basedOn w:val="Normal"/>
    <w:next w:val="Normal"/>
    <w:qFormat/>
    <w:pPr>
      <w:keepNext w:val="true"/>
      <w:numPr>
        <w:ilvl w:val="2"/>
        <w:numId w:val="1"/>
      </w:numPr>
      <w:outlineLvl w:val="2"/>
    </w:pPr>
    <w:rPr>
      <w:rFonts w:ascii="BookmanITC Lt BT" w:hAnsi="BookmanITC Lt BT" w:cs="BookmanITC Lt BT"/>
      <w:b/>
      <w:bCs/>
      <w:szCs w:val="26"/>
      <w:u w:val="single"/>
    </w:rPr>
  </w:style>
  <w:style w:type="paragraph" w:styleId="Heading4">
    <w:name w:val="heading 4"/>
    <w:basedOn w:val="Normal"/>
    <w:next w:val="Normal"/>
    <w:qFormat/>
    <w:pPr>
      <w:keepNext w:val="true"/>
      <w:numPr>
        <w:ilvl w:val="3"/>
        <w:numId w:val="1"/>
      </w:numPr>
      <w:autoSpaceDE w:val="false"/>
      <w:ind w:firstLine="360" w:start="0" w:end="0"/>
      <w:outlineLvl w:val="3"/>
    </w:pPr>
    <w:rPr>
      <w:rFonts w:ascii="BookmanITC Lt BT" w:hAnsi="BookmanITC Lt BT" w:cs="BookmanITC Lt BT"/>
      <w:b/>
      <w:bCs/>
      <w:szCs w:val="26"/>
      <w:u w:val="single"/>
    </w:rPr>
  </w:style>
  <w:style w:type="paragraph" w:styleId="Heading5">
    <w:name w:val="heading 5"/>
    <w:basedOn w:val="Normal"/>
    <w:next w:val="Normal"/>
    <w:qFormat/>
    <w:pPr>
      <w:keepNext w:val="true"/>
      <w:numPr>
        <w:ilvl w:val="4"/>
        <w:numId w:val="1"/>
      </w:numPr>
      <w:autoSpaceDE w:val="false"/>
      <w:ind w:hanging="0" w:start="540" w:end="0"/>
      <w:outlineLvl w:val="4"/>
    </w:pPr>
    <w:rPr>
      <w:rFonts w:ascii="Lucida Sans" w:hAnsi="Lucida Sans" w:cs="Lucida Sans"/>
      <w:b/>
      <w:bCs/>
      <w:szCs w:val="26"/>
      <w:u w:val="single"/>
    </w:rPr>
  </w:style>
  <w:style w:type="paragraph" w:styleId="Heading6">
    <w:name w:val="heading 6"/>
    <w:basedOn w:val="Normal"/>
    <w:next w:val="Normal"/>
    <w:qFormat/>
    <w:pPr>
      <w:keepNext w:val="true"/>
      <w:numPr>
        <w:ilvl w:val="5"/>
        <w:numId w:val="1"/>
      </w:numPr>
      <w:ind w:firstLine="720" w:start="0" w:end="0"/>
      <w:outlineLvl w:val="5"/>
    </w:pPr>
    <w:rPr>
      <w:rFonts w:ascii="BookmanITC Lt BT" w:hAnsi="BookmanITC Lt BT" w:cs="BookmanITC Lt BT"/>
      <w:b/>
      <w:bCs/>
      <w:color w:val="800000"/>
      <w:szCs w:val="26"/>
      <w:u w:val="single"/>
    </w:rPr>
  </w:style>
  <w:style w:type="paragraph" w:styleId="Heading7">
    <w:name w:val="heading 7"/>
    <w:basedOn w:val="Normal"/>
    <w:next w:val="Normal"/>
    <w:qFormat/>
    <w:pPr>
      <w:keepNext w:val="true"/>
      <w:numPr>
        <w:ilvl w:val="6"/>
        <w:numId w:val="1"/>
      </w:numPr>
      <w:ind w:firstLine="900" w:start="0" w:end="0"/>
      <w:outlineLvl w:val="6"/>
    </w:pPr>
    <w:rPr>
      <w:rFonts w:ascii="Lucida Sans" w:hAnsi="Lucida Sans" w:cs="Lucida Sans"/>
      <w:b/>
      <w:bCs/>
      <w:szCs w:val="26"/>
      <w:u w:val="single"/>
    </w:rPr>
  </w:style>
  <w:style w:type="paragraph" w:styleId="Heading8">
    <w:name w:val="heading 8"/>
    <w:basedOn w:val="Normal"/>
    <w:next w:val="Normal"/>
    <w:qFormat/>
    <w:pPr>
      <w:keepNext w:val="true"/>
      <w:numPr>
        <w:ilvl w:val="7"/>
        <w:numId w:val="1"/>
      </w:numPr>
      <w:tabs>
        <w:tab w:val="clear" w:pos="720"/>
        <w:tab w:val="left" w:pos="360" w:leader="none"/>
      </w:tabs>
      <w:ind w:hanging="0" w:start="360" w:end="0"/>
      <w:outlineLvl w:val="7"/>
    </w:pPr>
    <w:rPr>
      <w:rFonts w:ascii="BookmanITC Lt BT" w:hAnsi="BookmanITC Lt BT" w:cs="BookmanITC Lt BT"/>
      <w:b/>
      <w:bCs/>
      <w:u w:val="single"/>
    </w:rPr>
  </w:style>
  <w:style w:type="paragraph" w:styleId="Heading9">
    <w:name w:val="heading 9"/>
    <w:basedOn w:val="Normal"/>
    <w:next w:val="Normal"/>
    <w:qFormat/>
    <w:pPr>
      <w:keepNext w:val="true"/>
      <w:numPr>
        <w:ilvl w:val="8"/>
        <w:numId w:val="1"/>
      </w:numPr>
      <w:ind w:firstLine="360" w:start="0" w:end="0"/>
      <w:outlineLvl w:val="8"/>
    </w:pPr>
    <w:rPr>
      <w:rFonts w:ascii="BookmanITC Lt BT" w:hAnsi="BookmanITC Lt BT" w:cs="BookmanITC Lt BT"/>
      <w:b/>
      <w:bCs/>
      <w:color w:val="80000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3z0">
    <w:name w:val="WW8Num3z0"/>
    <w:qFormat/>
    <w:rPr>
      <w:b/>
    </w:rPr>
  </w:style>
  <w:style w:type="character" w:styleId="WW8Num3z4">
    <w:name w:val="WW8Num3z4"/>
    <w:qFormat/>
    <w:rPr/>
  </w:style>
  <w:style w:type="character" w:styleId="WW8Num4z0">
    <w:name w:val="WW8Num4z0"/>
    <w:qFormat/>
    <w:rPr/>
  </w:style>
  <w:style w:type="character" w:styleId="WW8Num5z0">
    <w:name w:val="WW8Num5z0"/>
    <w:qFormat/>
    <w:rPr>
      <w:b/>
      <w:u w:val="single"/>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style>
  <w:style w:type="character" w:styleId="WW8Num8z1">
    <w:name w:val="WW8Num8z1"/>
    <w:qFormat/>
    <w:rPr>
      <w:rFonts w:ascii="Wingdings" w:hAnsi="Wingdings" w:eastAsia="Times New Roman" w:cs="Times New Roman"/>
    </w:rPr>
  </w:style>
  <w:style w:type="character" w:styleId="WW8Num8z2">
    <w:name w:val="WW8Num8z2"/>
    <w:qFormat/>
    <w:rPr>
      <w:rFonts w:ascii="Symbol" w:hAnsi="Symbol" w:eastAsia="Times New Roman" w:cs="Times New Roman"/>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8z5">
    <w:name w:val="WW8Num8z5"/>
    <w:qFormat/>
    <w:rPr>
      <w:rFonts w:ascii="Wingdings" w:hAnsi="Wingdings" w:cs="Wingdings"/>
    </w:rPr>
  </w:style>
  <w:style w:type="character" w:styleId="WW8Num9z0">
    <w:name w:val="WW8Num9z0"/>
    <w:qFormat/>
    <w:rPr>
      <w:rFonts w:ascii="Symbol" w:hAnsi="Symbol"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b w:val="false"/>
      <w:u w:val="none"/>
    </w:rPr>
  </w:style>
  <w:style w:type="character" w:styleId="WW8Num11z0">
    <w:name w:val="WW8Num11z0"/>
    <w:qFormat/>
    <w:rPr>
      <w:rFonts w:ascii="Wingdings" w:hAnsi="Wingdings" w:cs="Wingdings"/>
    </w:rPr>
  </w:style>
  <w:style w:type="character" w:styleId="WW8Num11z1">
    <w:name w:val="WW8Num11z1"/>
    <w:qFormat/>
    <w:rPr>
      <w:rFonts w:ascii="Wingdings" w:hAnsi="Wingdings" w:eastAsia="Times New Roman" w:cs="Times New Roman"/>
    </w:rPr>
  </w:style>
  <w:style w:type="character" w:styleId="WW8Num11z2">
    <w:name w:val="WW8Num11z2"/>
    <w:qFormat/>
    <w:rPr>
      <w:rFonts w:ascii="Symbol" w:hAnsi="Symbol" w:eastAsia="Times New Roman" w:cs="Times New Roman"/>
    </w:rPr>
  </w:style>
  <w:style w:type="character" w:styleId="WW8Num11z3">
    <w:name w:val="WW8Num11z3"/>
    <w:qFormat/>
    <w:rPr>
      <w:rFonts w:ascii="Times New Roman" w:hAnsi="Times New Roman" w:eastAsia="Times New Roman" w:cs="Times New Roman"/>
    </w:rPr>
  </w:style>
  <w:style w:type="character" w:styleId="WW8Num11z4">
    <w:name w:val="WW8Num11z4"/>
    <w:qFormat/>
    <w:rPr>
      <w:rFonts w:ascii="Courier New" w:hAnsi="Courier New" w:cs="Courier New"/>
    </w:rPr>
  </w:style>
  <w:style w:type="character" w:styleId="WW8Num11z6">
    <w:name w:val="WW8Num11z6"/>
    <w:qFormat/>
    <w:rPr>
      <w:rFonts w:ascii="Symbol" w:hAnsi="Symbol" w:cs="Symbol"/>
    </w:rPr>
  </w:style>
  <w:style w:type="character" w:styleId="WW8Num12z0">
    <w:name w:val="WW8Num12z0"/>
    <w:qFormat/>
    <w:rPr/>
  </w:style>
  <w:style w:type="character" w:styleId="WW8Num13z0">
    <w:name w:val="WW8Num13z0"/>
    <w:qFormat/>
    <w:rPr>
      <w:rFonts w:ascii="Symbol" w:hAnsi="Symbol"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eastAsia="Times New Roman" w:cs="Times New Roman"/>
    </w:rPr>
  </w:style>
  <w:style w:type="character" w:styleId="WW8Num14z1">
    <w:name w:val="WW8Num14z1"/>
    <w:qFormat/>
    <w:rPr>
      <w:rFonts w:ascii="Times New Roman" w:hAnsi="Times New Roman" w:eastAsia="Times New Roman" w:cs="Times New Roman"/>
    </w:rPr>
  </w:style>
  <w:style w:type="character" w:styleId="WW8Num14z2">
    <w:name w:val="WW8Num14z2"/>
    <w:qFormat/>
    <w:rPr>
      <w:rFonts w:ascii="Wingdings" w:hAnsi="Wingdings" w:eastAsia="Times New Roman" w:cs="Times New Roman"/>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6z2">
    <w:name w:val="WW8Num16z2"/>
    <w:qFormat/>
    <w:rPr>
      <w:rFonts w:ascii="Symbol" w:hAnsi="Symbol" w:eastAsia="Times New Roman" w:cs="Times New Roman"/>
      <w:b/>
    </w:rPr>
  </w:style>
  <w:style w:type="character" w:styleId="WW8Num17z0">
    <w:name w:val="WW8Num17z0"/>
    <w:qFormat/>
    <w:rPr>
      <w:rFonts w:ascii="Symbol" w:hAnsi="Symbol" w:eastAsia="Times New Roman" w:cs="Times New Roman"/>
    </w:rPr>
  </w:style>
  <w:style w:type="character" w:styleId="WW8Num17z1">
    <w:name w:val="WW8Num17z1"/>
    <w:qFormat/>
    <w:rPr>
      <w:rFonts w:ascii="Times New Roman" w:hAnsi="Times New Roman" w:eastAsia="Times New Roman" w:cs="Times New Roman"/>
    </w:rPr>
  </w:style>
  <w:style w:type="character" w:styleId="WW8Num17z2">
    <w:name w:val="WW8Num17z2"/>
    <w:qFormat/>
    <w:rPr>
      <w:rFonts w:ascii="Wingdings" w:hAnsi="Wingdings" w:eastAsia="Times New Roman" w:cs="Times New Roman"/>
    </w:rPr>
  </w:style>
  <w:style w:type="character" w:styleId="WW8Num17z4">
    <w:name w:val="WW8Num17z4"/>
    <w:qFormat/>
    <w:rPr>
      <w:rFonts w:ascii="Courier New" w:hAnsi="Courier New" w:cs="Courier New"/>
    </w:rPr>
  </w:style>
  <w:style w:type="character" w:styleId="WW8Num17z5">
    <w:name w:val="WW8Num17z5"/>
    <w:qFormat/>
    <w:rPr>
      <w:rFonts w:ascii="Wingdings" w:hAnsi="Wingdings" w:cs="Wingdings"/>
    </w:rPr>
  </w:style>
  <w:style w:type="character" w:styleId="WW8Num17z6">
    <w:name w:val="WW8Num17z6"/>
    <w:qFormat/>
    <w:rPr>
      <w:rFonts w:ascii="Symbol" w:hAnsi="Symbol" w:cs="Symbol"/>
    </w:rPr>
  </w:style>
  <w:style w:type="character" w:styleId="WW8Num18z0">
    <w:name w:val="WW8Num18z0"/>
    <w:qFormat/>
    <w:rPr/>
  </w:style>
  <w:style w:type="character" w:styleId="WW8Num18z2">
    <w:name w:val="WW8Num18z2"/>
    <w:qFormat/>
    <w:rPr>
      <w:rFonts w:ascii="Wingdings" w:hAnsi="Wingdings" w:eastAsia="Times New Roman" w:cs="Times New Roman"/>
    </w:rPr>
  </w:style>
  <w:style w:type="character" w:styleId="WW8Num19z0">
    <w:name w:val="WW8Num19z0"/>
    <w:qFormat/>
    <w:rPr>
      <w:rFonts w:ascii="Wingdings" w:hAnsi="Wingdings"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Times New Roman" w:hAnsi="Times New Roman" w:eastAsia="Times New Roman" w:cs="Times New Roman"/>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center"/>
    </w:pPr>
    <w:rPr>
      <w:rFonts w:ascii="Technical" w:hAnsi="Technical" w:cs="Technical"/>
      <w:b/>
      <w:bCs/>
      <w:i/>
      <w:iCs/>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80" w:start="1080" w:end="0"/>
    </w:pPr>
    <w:rPr/>
  </w:style>
  <w:style w:type="paragraph" w:styleId="BodyTextIndent2">
    <w:name w:val="Body Text Indent 2"/>
    <w:basedOn w:val="Normal"/>
    <w:qFormat/>
    <w:pPr>
      <w:autoSpaceDE w:val="false"/>
      <w:ind w:hanging="0" w:start="720" w:end="0"/>
    </w:pPr>
    <w:rPr>
      <w:szCs w:val="26"/>
    </w:rPr>
  </w:style>
  <w:style w:type="paragraph" w:styleId="BodyTextIndent3">
    <w:name w:val="Body Text Indent 3"/>
    <w:basedOn w:val="Normal"/>
    <w:qFormat/>
    <w:pPr>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hyperlink" Target="http://www.caiso.com/pubinfo/FERC/filings/"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2001-01-05T06:11:00Z</dcterms:created>
  <dc:creator>Susan R. Schneider</dc:creator>
  <dc:description/>
  <dc:language>en-CA</dc:language>
  <cp:lastModifiedBy>Susan R. Schneider</cp:lastModifiedBy>
  <cp:lastPrinted>2000-12-16T06:30:00Z</cp:lastPrinted>
  <dcterms:modified xsi:type="dcterms:W3CDTF">2001-01-05T06:11:00Z</dcterms:modified>
  <cp:revision>2</cp:revision>
  <dc:subject/>
  <dc:title>Proposed Immediate Measures</dc:title>
</cp:coreProperties>
</file>