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rPr>
      </w:pPr>
      <w:r>
        <w:rPr>
          <w:b/>
          <w:bCs/>
          <w:sz w:val="28"/>
          <w:szCs w:val="28"/>
        </w:rPr>
        <w:t>Kevin T. Abikoff</w:t>
      </w:r>
    </w:p>
    <w:p>
      <w:pPr>
        <w:pStyle w:val="Normal"/>
        <w:widowControl/>
        <w:jc w:val="center"/>
        <w:rPr>
          <w:sz w:val="24"/>
        </w:rPr>
      </w:pPr>
      <w:r>
        <w:rPr>
          <w:sz w:val="24"/>
        </w:rPr>
      </w:r>
    </w:p>
    <w:p>
      <w:pPr>
        <w:pStyle w:val="Normal"/>
        <w:widowControl/>
        <w:tabs>
          <w:tab w:val="clear" w:pos="720"/>
          <w:tab w:val="left" w:pos="-1440" w:leader="none"/>
        </w:tabs>
        <w:ind w:hanging="2160" w:start="2160" w:end="0"/>
        <w:rPr/>
      </w:pPr>
      <w:r>
        <w:rPr>
          <w:b/>
          <w:bCs/>
          <w:sz w:val="22"/>
          <w:szCs w:val="20"/>
        </w:rPr>
        <w:t>EXPERIENCE</w:t>
      </w:r>
      <w:r>
        <w:rPr>
          <w:b/>
          <w:bCs/>
          <w:sz w:val="22"/>
        </w:rPr>
        <w:tab/>
        <w:t xml:space="preserve">HUGHES HUBBARD &amp; REED LLP, </w:t>
      </w:r>
      <w:r>
        <w:rPr>
          <w:sz w:val="22"/>
        </w:rPr>
        <w:t>Washington, DC</w:t>
      </w:r>
    </w:p>
    <w:p>
      <w:pPr>
        <w:pStyle w:val="Normal"/>
        <w:widowControl/>
        <w:tabs>
          <w:tab w:val="clear" w:pos="720"/>
          <w:tab w:val="left" w:pos="-1440" w:leader="none"/>
        </w:tabs>
        <w:ind w:start="2160" w:end="0"/>
        <w:rPr>
          <w:sz w:val="22"/>
        </w:rPr>
      </w:pPr>
      <w:r>
        <w:rPr>
          <w:sz w:val="22"/>
        </w:rPr>
        <w:t>Partner</w:t>
      </w:r>
    </w:p>
    <w:p>
      <w:pPr>
        <w:pStyle w:val="Normal"/>
        <w:widowControl/>
        <w:tabs>
          <w:tab w:val="clear" w:pos="720"/>
          <w:tab w:val="left" w:pos="-1440" w:leader="none"/>
        </w:tabs>
        <w:ind w:start="2160" w:end="0"/>
        <w:rPr>
          <w:sz w:val="22"/>
        </w:rPr>
      </w:pPr>
      <w:r>
        <w:rPr>
          <w:sz w:val="22"/>
        </w:rPr>
        <w:t>(December 2001– Present)</w:t>
      </w:r>
    </w:p>
    <w:p>
      <w:pPr>
        <w:pStyle w:val="Normal"/>
        <w:widowControl/>
        <w:tabs>
          <w:tab w:val="clear" w:pos="720"/>
          <w:tab w:val="left" w:pos="-1440" w:leader="none"/>
        </w:tabs>
        <w:ind w:start="2160" w:end="0"/>
        <w:rPr>
          <w:b/>
          <w:bCs/>
          <w:sz w:val="22"/>
        </w:rPr>
      </w:pPr>
      <w:r>
        <w:rPr>
          <w:sz w:val="22"/>
        </w:rPr>
        <w:t>Practice focused on the representation of corporations, individuals and other entities in securities enforcement proceedings, white collar criminal litigation and complex class and derivative litigation.</w:t>
      </w:r>
    </w:p>
    <w:p>
      <w:pPr>
        <w:pStyle w:val="Normal"/>
        <w:widowControl/>
        <w:tabs>
          <w:tab w:val="clear" w:pos="720"/>
          <w:tab w:val="left" w:pos="-1440" w:leader="none"/>
        </w:tabs>
        <w:ind w:hanging="2160" w:start="2160" w:end="0"/>
        <w:rPr>
          <w:b/>
          <w:bCs/>
          <w:sz w:val="22"/>
        </w:rPr>
      </w:pPr>
      <w:r>
        <w:rPr>
          <w:b/>
          <w:bCs/>
          <w:sz w:val="22"/>
        </w:rPr>
      </w:r>
    </w:p>
    <w:p>
      <w:pPr>
        <w:pStyle w:val="Normal"/>
        <w:widowControl/>
        <w:tabs>
          <w:tab w:val="clear" w:pos="720"/>
          <w:tab w:val="left" w:pos="-1440" w:leader="none"/>
        </w:tabs>
        <w:ind w:hanging="2160" w:start="2160" w:end="0"/>
        <w:rPr/>
      </w:pPr>
      <w:r>
        <w:rPr>
          <w:b/>
          <w:bCs/>
          <w:sz w:val="22"/>
        </w:rPr>
        <w:tab/>
        <w:tab/>
        <w:tab/>
      </w:r>
      <w:r>
        <w:rPr>
          <w:b/>
          <w:bCs/>
          <w:sz w:val="22"/>
          <w:szCs w:val="22"/>
        </w:rPr>
        <w:t>AMERICAN GENERAL CORPORATION,</w:t>
      </w:r>
      <w:r>
        <w:rPr>
          <w:sz w:val="22"/>
          <w:szCs w:val="22"/>
        </w:rPr>
        <w:t xml:space="preserve"> Houston, Texas </w:t>
      </w:r>
    </w:p>
    <w:p>
      <w:pPr>
        <w:pStyle w:val="Normal"/>
        <w:widowControl/>
        <w:ind w:start="2160" w:end="0"/>
        <w:rPr/>
      </w:pPr>
      <w:r>
        <w:rPr>
          <w:b/>
          <w:bCs/>
          <w:sz w:val="22"/>
          <w:szCs w:val="22"/>
        </w:rPr>
        <w:t xml:space="preserve">Senior Vice President and General Counsel-Corporate and Compliance </w:t>
      </w:r>
      <w:r>
        <w:rPr>
          <w:sz w:val="22"/>
          <w:szCs w:val="22"/>
        </w:rPr>
        <w:t>(August 1998 – November 2001)</w:t>
      </w:r>
    </w:p>
    <w:p>
      <w:pPr>
        <w:pStyle w:val="Normal"/>
        <w:widowControl/>
        <w:ind w:start="2160" w:end="0"/>
        <w:rPr>
          <w:b/>
          <w:bCs/>
          <w:sz w:val="22"/>
          <w:szCs w:val="22"/>
        </w:rPr>
      </w:pPr>
      <w:r>
        <w:rPr>
          <w:b/>
          <w:bCs/>
          <w:sz w:val="22"/>
          <w:szCs w:val="22"/>
        </w:rPr>
      </w:r>
    </w:p>
    <w:p>
      <w:pPr>
        <w:pStyle w:val="Normal"/>
        <w:widowControl/>
        <w:ind w:start="2160" w:end="0"/>
        <w:rPr>
          <w:sz w:val="22"/>
          <w:szCs w:val="22"/>
        </w:rPr>
      </w:pPr>
      <w:r>
        <w:rPr>
          <w:sz w:val="22"/>
          <w:szCs w:val="22"/>
        </w:rPr>
        <w:t xml:space="preserve">Senior officer with staff of 40+ and direct responsibility for all corporate legal functions and select shared services functions including securities matters (filings and compliance), mergers and acquisitions, broker-dealer compliance, corporate ethics and responsibility, field audit, insurance holding company matters, privacy compliance, shareholder services, intellectual property and corporate contracting. </w:t>
      </w:r>
    </w:p>
    <w:p>
      <w:pPr>
        <w:pStyle w:val="Normal"/>
        <w:widowControl/>
        <w:ind w:start="2160" w:end="0"/>
        <w:rPr>
          <w:sz w:val="22"/>
          <w:szCs w:val="22"/>
        </w:rPr>
      </w:pPr>
      <w:r>
        <w:rPr>
          <w:sz w:val="22"/>
          <w:szCs w:val="22"/>
        </w:rPr>
      </w:r>
    </w:p>
    <w:p>
      <w:pPr>
        <w:pStyle w:val="Normal"/>
        <w:widowControl/>
        <w:ind w:start="2160" w:end="0"/>
        <w:rPr>
          <w:sz w:val="22"/>
          <w:szCs w:val="22"/>
        </w:rPr>
      </w:pPr>
      <w:r>
        <w:rPr>
          <w:sz w:val="22"/>
          <w:szCs w:val="22"/>
        </w:rPr>
        <w:t>Matrix responsibility for entire compliance environment (100+ persons) enterprise-wide (across all four of the company's operational divisions:  life insurance, retirement services, investment management and consumer finance) with responsibility for oversight of compliance policies and procedures, analysis of leading and lagging compliance indicators and coordination of compliance initiatives and responses to significant regulatory matters.  Routinely report to the Audit Committee of the Board of Directors of American General Corporation related to securities, compliance and other matters.</w:t>
      </w:r>
    </w:p>
    <w:p>
      <w:pPr>
        <w:pStyle w:val="Normal"/>
        <w:widowControl/>
        <w:rPr>
          <w:sz w:val="22"/>
          <w:szCs w:val="22"/>
        </w:rPr>
      </w:pPr>
      <w:r>
        <w:rPr>
          <w:sz w:val="22"/>
          <w:szCs w:val="22"/>
        </w:rPr>
      </w:r>
    </w:p>
    <w:p>
      <w:pPr>
        <w:pStyle w:val="Normal"/>
        <w:widowControl/>
        <w:ind w:start="2160" w:end="0"/>
        <w:rPr>
          <w:sz w:val="22"/>
          <w:szCs w:val="22"/>
        </w:rPr>
      </w:pPr>
      <w:r>
        <w:rPr>
          <w:b/>
          <w:bCs/>
          <w:sz w:val="22"/>
          <w:szCs w:val="22"/>
        </w:rPr>
        <w:t>Deputy General Counsel and Corporate Responsibility Officer</w:t>
      </w:r>
    </w:p>
    <w:p>
      <w:pPr>
        <w:pStyle w:val="Normal"/>
        <w:widowControl/>
        <w:ind w:start="2160" w:end="0"/>
        <w:rPr>
          <w:sz w:val="22"/>
          <w:szCs w:val="22"/>
        </w:rPr>
      </w:pPr>
      <w:r>
        <w:rPr>
          <w:sz w:val="22"/>
          <w:szCs w:val="22"/>
        </w:rPr>
        <w:t>(January 2000 - December 2000)</w:t>
      </w:r>
    </w:p>
    <w:p>
      <w:pPr>
        <w:pStyle w:val="Normal"/>
        <w:widowControl/>
        <w:ind w:start="2160" w:end="0"/>
        <w:rPr>
          <w:b/>
          <w:bCs/>
          <w:sz w:val="22"/>
          <w:szCs w:val="22"/>
        </w:rPr>
      </w:pPr>
      <w:r>
        <w:rPr>
          <w:b/>
          <w:bCs/>
          <w:sz w:val="22"/>
          <w:szCs w:val="22"/>
        </w:rPr>
      </w:r>
    </w:p>
    <w:p>
      <w:pPr>
        <w:pStyle w:val="Normal"/>
        <w:widowControl/>
        <w:ind w:start="2160" w:end="0"/>
        <w:rPr>
          <w:sz w:val="22"/>
          <w:szCs w:val="22"/>
        </w:rPr>
      </w:pPr>
      <w:r>
        <w:rPr>
          <w:b/>
          <w:bCs/>
          <w:sz w:val="22"/>
          <w:szCs w:val="22"/>
        </w:rPr>
        <w:t>Associate General Counsel and Corporate Responsibility Officer</w:t>
      </w:r>
    </w:p>
    <w:p>
      <w:pPr>
        <w:pStyle w:val="Normal"/>
        <w:widowControl/>
        <w:ind w:start="2160" w:end="0"/>
        <w:rPr>
          <w:sz w:val="22"/>
          <w:szCs w:val="22"/>
        </w:rPr>
      </w:pPr>
      <w:r>
        <w:rPr>
          <w:sz w:val="22"/>
          <w:szCs w:val="22"/>
        </w:rPr>
        <w:t>(August 1998 - December 1999)</w:t>
      </w:r>
    </w:p>
    <w:p>
      <w:pPr>
        <w:pStyle w:val="Normal"/>
        <w:widowControl/>
        <w:ind w:start="2160" w:end="0"/>
        <w:rPr>
          <w:sz w:val="22"/>
          <w:szCs w:val="22"/>
        </w:rPr>
      </w:pPr>
      <w:r>
        <w:rPr>
          <w:sz w:val="22"/>
          <w:szCs w:val="22"/>
        </w:rPr>
      </w:r>
    </w:p>
    <w:p>
      <w:pPr>
        <w:pStyle w:val="Normal"/>
        <w:widowControl/>
        <w:ind w:start="2160" w:end="0"/>
        <w:rPr/>
      </w:pPr>
      <w:r>
        <w:rPr>
          <w:b/>
          <w:bCs/>
          <w:sz w:val="22"/>
          <w:szCs w:val="22"/>
        </w:rPr>
        <w:t>DEBEVOISE &amp; PLIMPTON</w:t>
      </w:r>
      <w:r>
        <w:rPr>
          <w:sz w:val="22"/>
          <w:szCs w:val="22"/>
        </w:rPr>
        <w:t xml:space="preserve">, Washington, D.C. </w:t>
      </w:r>
    </w:p>
    <w:p>
      <w:pPr>
        <w:pStyle w:val="Normal"/>
        <w:widowControl/>
        <w:ind w:start="2160" w:end="0"/>
        <w:rPr/>
      </w:pPr>
      <w:r>
        <w:rPr>
          <w:b/>
          <w:bCs/>
          <w:sz w:val="22"/>
          <w:szCs w:val="22"/>
        </w:rPr>
        <w:t>Associate</w:t>
      </w:r>
      <w:r>
        <w:rPr>
          <w:sz w:val="22"/>
          <w:szCs w:val="22"/>
        </w:rPr>
        <w:t xml:space="preserve"> (October 1989 - August 1998)</w:t>
      </w:r>
    </w:p>
    <w:p>
      <w:pPr>
        <w:pStyle w:val="Normal"/>
        <w:widowControl/>
        <w:ind w:start="2160" w:end="0"/>
        <w:rPr>
          <w:sz w:val="22"/>
          <w:szCs w:val="22"/>
        </w:rPr>
      </w:pPr>
      <w:r>
        <w:rPr>
          <w:sz w:val="22"/>
          <w:szCs w:val="22"/>
        </w:rPr>
        <w:t>Represented entities and individuals in complex corporate, securities, class action, insurance, white collar criminal and commercial matters.  Engaged in civil and criminal court litigation, conducted shareholder derivative proceedings, including representation of boards' of directors and board committees, and defended Securities and Exchange Commission investigations and political corruption matters involving independent prosecutors, the Department of Justice and congressional inquiries.  Represented a broad array of insurance companies in market conduct regulatory and litigation matters and in connection with the design and implementation of effective corporate compliance environments.</w:t>
      </w:r>
    </w:p>
    <w:p>
      <w:pPr>
        <w:pStyle w:val="Normal"/>
        <w:widowControl/>
        <w:rPr>
          <w:sz w:val="22"/>
          <w:szCs w:val="22"/>
        </w:rPr>
      </w:pPr>
      <w:r>
        <w:rPr>
          <w:sz w:val="22"/>
          <w:szCs w:val="22"/>
        </w:rPr>
      </w:r>
    </w:p>
    <w:p>
      <w:pPr>
        <w:pStyle w:val="Normal"/>
        <w:keepNext w:val="true"/>
        <w:widowControl/>
        <w:ind w:start="2160" w:end="0"/>
        <w:rPr/>
      </w:pPr>
      <w:r>
        <w:rPr>
          <w:b/>
          <w:bCs/>
          <w:sz w:val="22"/>
          <w:szCs w:val="22"/>
        </w:rPr>
        <w:t>HONORABLE COLINS J. SEITZ, UNITED STATES COURT OF APPEALS FOR THE THIRD CIRCUIT</w:t>
      </w:r>
      <w:r>
        <w:rPr>
          <w:sz w:val="22"/>
          <w:szCs w:val="22"/>
        </w:rPr>
        <w:t xml:space="preserve">, Wilmington, Delaware </w:t>
      </w:r>
    </w:p>
    <w:p>
      <w:pPr>
        <w:pStyle w:val="Normal"/>
        <w:keepNext w:val="true"/>
        <w:widowControl/>
        <w:ind w:start="2160" w:end="0"/>
        <w:rPr/>
      </w:pPr>
      <w:r>
        <w:rPr>
          <w:b/>
          <w:bCs/>
          <w:sz w:val="22"/>
          <w:szCs w:val="22"/>
        </w:rPr>
        <w:t>Law Clerk</w:t>
      </w:r>
      <w:r>
        <w:rPr>
          <w:sz w:val="22"/>
          <w:szCs w:val="22"/>
        </w:rPr>
        <w:t xml:space="preserve"> (September 1988-September 1989)</w:t>
      </w:r>
    </w:p>
    <w:p>
      <w:pPr>
        <w:pStyle w:val="Normal"/>
        <w:widowControl/>
        <w:ind w:start="2160" w:end="0"/>
        <w:rPr>
          <w:sz w:val="22"/>
          <w:szCs w:val="22"/>
        </w:rPr>
      </w:pPr>
      <w:r>
        <w:rPr>
          <w:sz w:val="22"/>
          <w:szCs w:val="22"/>
        </w:rPr>
      </w:r>
    </w:p>
    <w:p>
      <w:pPr>
        <w:pStyle w:val="Normal"/>
        <w:widowControl/>
        <w:tabs>
          <w:tab w:val="clear" w:pos="720"/>
          <w:tab w:val="left" w:pos="-1440" w:leader="none"/>
        </w:tabs>
        <w:ind w:hanging="2160" w:start="2160" w:end="0"/>
        <w:rPr/>
      </w:pPr>
      <w:r>
        <w:rPr>
          <w:b/>
          <w:bCs/>
          <w:sz w:val="22"/>
          <w:szCs w:val="22"/>
        </w:rPr>
        <w:t>EDUCATION</w:t>
        <w:tab/>
      </w:r>
      <w:r>
        <w:rPr>
          <w:sz w:val="22"/>
          <w:szCs w:val="22"/>
        </w:rPr>
        <w:tab/>
      </w:r>
      <w:r>
        <w:rPr>
          <w:b/>
          <w:bCs/>
          <w:sz w:val="22"/>
          <w:szCs w:val="22"/>
        </w:rPr>
        <w:t>COLUMBIA UNIVERSITY LAW SCHOOL,</w:t>
      </w:r>
      <w:r>
        <w:rPr>
          <w:sz w:val="22"/>
          <w:szCs w:val="22"/>
        </w:rPr>
        <w:t xml:space="preserve"> New York, New York, J.D. May 1988.</w:t>
      </w:r>
    </w:p>
    <w:p>
      <w:pPr>
        <w:pStyle w:val="Normal"/>
        <w:widowControl/>
        <w:ind w:start="2160" w:end="0"/>
        <w:rPr/>
      </w:pPr>
      <w:r>
        <w:rPr>
          <w:b/>
          <w:bCs/>
          <w:sz w:val="22"/>
          <w:szCs w:val="22"/>
        </w:rPr>
        <w:t>Columbia Law Review Staff Member and Senior Revising Editor.  Harlan Fiske Stone Scholar.</w:t>
      </w:r>
      <w:r>
        <w:rPr>
          <w:sz w:val="22"/>
          <w:szCs w:val="22"/>
        </w:rPr>
        <w:t xml:space="preserve">  Teaching Fellow in Civil Procedure and Property.  Advocate, Legal Action Center for the Homeless.</w:t>
      </w:r>
    </w:p>
    <w:p>
      <w:pPr>
        <w:pStyle w:val="Normal"/>
        <w:widowControl/>
        <w:rPr>
          <w:sz w:val="22"/>
          <w:szCs w:val="22"/>
        </w:rPr>
      </w:pPr>
      <w:r>
        <w:rPr>
          <w:sz w:val="22"/>
          <w:szCs w:val="22"/>
        </w:rPr>
      </w:r>
    </w:p>
    <w:p>
      <w:pPr>
        <w:pStyle w:val="Normal"/>
        <w:widowControl/>
        <w:ind w:start="2160" w:end="0"/>
        <w:rPr/>
      </w:pPr>
      <w:r>
        <w:rPr>
          <w:b/>
          <w:bCs/>
          <w:sz w:val="22"/>
          <w:szCs w:val="22"/>
        </w:rPr>
        <w:t>BOSTON UNIVERSITY, COLLEGE OF LIBERAL ARTS,</w:t>
      </w:r>
      <w:r>
        <w:rPr>
          <w:sz w:val="22"/>
          <w:szCs w:val="22"/>
        </w:rPr>
        <w:t xml:space="preserve"> Boston Massachusetts, B.A. with distinction in Economics, May 1985.</w:t>
      </w:r>
    </w:p>
    <w:p>
      <w:pPr>
        <w:pStyle w:val="Normal"/>
        <w:widowControl/>
        <w:ind w:start="2160" w:end="0"/>
        <w:rPr/>
      </w:pPr>
      <w:r>
        <w:rPr>
          <w:b/>
          <w:bCs/>
          <w:sz w:val="22"/>
          <w:szCs w:val="22"/>
        </w:rPr>
        <w:t>Summa Cum Laude.</w:t>
      </w:r>
      <w:r>
        <w:rPr>
          <w:sz w:val="22"/>
          <w:szCs w:val="22"/>
        </w:rPr>
        <w:t xml:space="preserve">  Grade Point Average:  3.75 overall; 3.8 in major.  Member National Honors Society in Psychology.  Dean's List for seven semesters.  Senior Thesis Topic:  Labor Dislocation.  Intercollegiate Rugby Player, First Side.</w:t>
      </w:r>
    </w:p>
    <w:p>
      <w:pPr>
        <w:pStyle w:val="Normal"/>
        <w:widowControl/>
        <w:rPr>
          <w:sz w:val="22"/>
          <w:szCs w:val="22"/>
        </w:rPr>
      </w:pPr>
      <w:r>
        <w:rPr>
          <w:sz w:val="22"/>
          <w:szCs w:val="22"/>
        </w:rPr>
      </w:r>
    </w:p>
    <w:p>
      <w:pPr>
        <w:pStyle w:val="Normal"/>
        <w:widowControl/>
        <w:tabs>
          <w:tab w:val="clear" w:pos="720"/>
          <w:tab w:val="left" w:pos="-1440" w:leader="none"/>
        </w:tabs>
        <w:ind w:hanging="2160" w:start="2160" w:end="0"/>
        <w:rPr/>
      </w:pPr>
      <w:r>
        <w:rPr>
          <w:b/>
          <w:bCs/>
          <w:sz w:val="22"/>
          <w:szCs w:val="20"/>
        </w:rPr>
        <w:t>SELECT</w:t>
        <w:tab/>
        <w:tab/>
      </w:r>
      <w:r>
        <w:rPr>
          <w:i/>
          <w:iCs/>
          <w:sz w:val="22"/>
          <w:szCs w:val="22"/>
        </w:rPr>
        <w:t>Shareholder Derivative Litigation:  Besieging the Board</w:t>
      </w:r>
      <w:r>
        <w:rPr>
          <w:sz w:val="22"/>
          <w:szCs w:val="22"/>
        </w:rPr>
        <w:t xml:space="preserve"> (Law Journal-</w:t>
      </w:r>
    </w:p>
    <w:p>
      <w:pPr>
        <w:pStyle w:val="Normal"/>
        <w:widowControl/>
        <w:tabs>
          <w:tab w:val="clear" w:pos="720"/>
          <w:tab w:val="left" w:pos="-1440" w:leader="none"/>
        </w:tabs>
        <w:ind w:hanging="2160" w:start="2160" w:end="0"/>
        <w:rPr>
          <w:b/>
          <w:bCs/>
          <w:sz w:val="22"/>
        </w:rPr>
      </w:pPr>
      <w:r>
        <w:rPr>
          <w:b/>
          <w:bCs/>
          <w:sz w:val="22"/>
          <w:szCs w:val="20"/>
        </w:rPr>
        <w:t>PUBLICATIONS</w:t>
      </w:r>
      <w:r>
        <w:rPr>
          <w:b/>
          <w:bCs/>
          <w:sz w:val="22"/>
          <w:szCs w:val="22"/>
        </w:rPr>
        <w:tab/>
      </w:r>
      <w:r>
        <w:rPr>
          <w:sz w:val="22"/>
          <w:szCs w:val="22"/>
        </w:rPr>
        <w:t>Press, first published 1995 and updated semi-annually since)</w:t>
      </w:r>
      <w:r>
        <w:rPr>
          <w:sz w:val="22"/>
        </w:rPr>
        <w:t>.</w:t>
      </w:r>
    </w:p>
    <w:p>
      <w:pPr>
        <w:pStyle w:val="Normal"/>
        <w:widowControl/>
        <w:tabs>
          <w:tab w:val="clear" w:pos="720"/>
          <w:tab w:val="left" w:pos="-1440" w:leader="none"/>
        </w:tabs>
        <w:ind w:hanging="2160" w:start="2160" w:end="0"/>
        <w:rPr>
          <w:i/>
          <w:i/>
          <w:iCs/>
          <w:sz w:val="22"/>
          <w:szCs w:val="22"/>
        </w:rPr>
      </w:pPr>
      <w:r>
        <w:rPr>
          <w:b/>
          <w:bCs/>
          <w:sz w:val="22"/>
          <w:szCs w:val="20"/>
        </w:rPr>
        <w:t>AND SPEECHES</w:t>
      </w:r>
      <w:r>
        <w:rPr>
          <w:b/>
          <w:bCs/>
          <w:sz w:val="22"/>
        </w:rPr>
        <w:tab/>
      </w:r>
    </w:p>
    <w:p>
      <w:pPr>
        <w:pStyle w:val="Normal"/>
        <w:widowControl/>
        <w:ind w:start="2160" w:end="0"/>
        <w:rPr>
          <w:i/>
          <w:i/>
          <w:iCs/>
          <w:sz w:val="22"/>
          <w:szCs w:val="22"/>
        </w:rPr>
      </w:pPr>
      <w:r>
        <w:rPr>
          <w:i/>
          <w:iCs/>
          <w:sz w:val="22"/>
          <w:szCs w:val="22"/>
        </w:rPr>
        <w:t xml:space="preserve">The Framework for Leniency - The SEC’s Statement on the Relationship of Cooperative to Agency Enforcement Decisions, </w:t>
      </w:r>
      <w:r>
        <w:rPr>
          <w:sz w:val="22"/>
          <w:szCs w:val="22"/>
        </w:rPr>
        <w:t>12 The Corporate Analyst, 1-4 (to be published December 3, 2001)</w:t>
      </w:r>
    </w:p>
    <w:p>
      <w:pPr>
        <w:pStyle w:val="Normal"/>
        <w:widowControl/>
        <w:ind w:start="2160" w:end="0"/>
        <w:rPr>
          <w:i/>
          <w:i/>
          <w:iCs/>
          <w:sz w:val="22"/>
          <w:szCs w:val="22"/>
        </w:rPr>
      </w:pPr>
      <w:r>
        <w:rPr>
          <w:i/>
          <w:iCs/>
          <w:sz w:val="22"/>
          <w:szCs w:val="22"/>
        </w:rPr>
      </w:r>
    </w:p>
    <w:p>
      <w:pPr>
        <w:pStyle w:val="Normal"/>
        <w:widowControl/>
        <w:ind w:start="2160" w:end="0"/>
        <w:rPr/>
      </w:pPr>
      <w:r>
        <w:rPr>
          <w:i/>
          <w:iCs/>
          <w:sz w:val="22"/>
          <w:szCs w:val="22"/>
        </w:rPr>
        <w:t>Portrait of a Scam and its Victims: Pump and Dump Schemes in Cyberspace:  How They Work, Who’s Most at Risk,</w:t>
      </w:r>
      <w:r>
        <w:rPr>
          <w:sz w:val="22"/>
          <w:szCs w:val="22"/>
        </w:rPr>
        <w:t xml:space="preserve"> 2 eSecurities 3-4 (June 2000).</w:t>
      </w:r>
    </w:p>
    <w:p>
      <w:pPr>
        <w:pStyle w:val="Normal"/>
        <w:widowControl/>
        <w:rPr>
          <w:i/>
          <w:i/>
          <w:iCs/>
          <w:sz w:val="22"/>
          <w:szCs w:val="22"/>
        </w:rPr>
      </w:pPr>
      <w:r>
        <w:rPr>
          <w:i/>
          <w:iCs/>
          <w:sz w:val="22"/>
          <w:szCs w:val="22"/>
        </w:rPr>
      </w:r>
    </w:p>
    <w:p>
      <w:pPr>
        <w:pStyle w:val="Normal"/>
        <w:widowControl/>
        <w:ind w:start="2160" w:end="0"/>
        <w:rPr/>
      </w:pPr>
      <w:r>
        <w:rPr>
          <w:i/>
          <w:iCs/>
          <w:sz w:val="22"/>
          <w:szCs w:val="22"/>
        </w:rPr>
        <w:t>Corporate Internet Communications:  Avoiding Selective Disclosure Liability</w:t>
      </w:r>
      <w:r>
        <w:rPr>
          <w:sz w:val="22"/>
          <w:szCs w:val="22"/>
        </w:rPr>
        <w:t>, 1 eSecurities 1-2 (February 1999).</w:t>
      </w:r>
    </w:p>
    <w:p>
      <w:pPr>
        <w:pStyle w:val="Normal"/>
        <w:widowControl/>
        <w:rPr>
          <w:sz w:val="22"/>
          <w:szCs w:val="22"/>
        </w:rPr>
      </w:pPr>
      <w:r>
        <w:rPr>
          <w:sz w:val="22"/>
          <w:szCs w:val="22"/>
        </w:rPr>
      </w:r>
    </w:p>
    <w:p>
      <w:pPr>
        <w:pStyle w:val="Normal"/>
        <w:widowControl/>
        <w:ind w:start="2160" w:end="0"/>
        <w:rPr/>
      </w:pPr>
      <w:r>
        <w:rPr>
          <w:i/>
          <w:iCs/>
          <w:sz w:val="22"/>
          <w:szCs w:val="22"/>
        </w:rPr>
        <w:t>The Duty of Corporate Directors to Respond to Allegations or Evidence of Wrongdoing,</w:t>
      </w:r>
      <w:r>
        <w:rPr>
          <w:sz w:val="22"/>
          <w:szCs w:val="22"/>
        </w:rPr>
        <w:t xml:space="preserve"> 9 The Corporate Analyst 1-37 (February 1997).</w:t>
      </w:r>
    </w:p>
    <w:p>
      <w:pPr>
        <w:pStyle w:val="Normal"/>
        <w:widowControl/>
        <w:rPr>
          <w:sz w:val="22"/>
          <w:szCs w:val="22"/>
        </w:rPr>
      </w:pPr>
      <w:r>
        <w:rPr>
          <w:sz w:val="22"/>
          <w:szCs w:val="22"/>
        </w:rPr>
      </w:r>
    </w:p>
    <w:p>
      <w:pPr>
        <w:pStyle w:val="Normal"/>
        <w:widowControl/>
        <w:ind w:start="2160" w:end="0"/>
        <w:rPr/>
      </w:pPr>
      <w:r>
        <w:rPr>
          <w:i/>
          <w:iCs/>
          <w:sz w:val="22"/>
          <w:szCs w:val="22"/>
        </w:rPr>
        <w:t>The Role of the Comptroller General in Light of Bowsher Versus Synar</w:t>
      </w:r>
      <w:r>
        <w:rPr>
          <w:sz w:val="22"/>
          <w:szCs w:val="22"/>
        </w:rPr>
        <w:t>, 87 Colum. L.  Rev. 1539 (1987).</w:t>
      </w:r>
    </w:p>
    <w:p>
      <w:pPr>
        <w:pStyle w:val="Normal"/>
        <w:widowControl/>
        <w:rPr>
          <w:sz w:val="22"/>
          <w:szCs w:val="22"/>
        </w:rPr>
      </w:pPr>
      <w:r>
        <w:rPr>
          <w:sz w:val="22"/>
          <w:szCs w:val="22"/>
        </w:rPr>
      </w:r>
    </w:p>
    <w:p>
      <w:pPr>
        <w:pStyle w:val="Normal"/>
        <w:widowControl/>
        <w:ind w:start="2160" w:end="0"/>
        <w:rPr>
          <w:i/>
          <w:i/>
          <w:iCs/>
          <w:sz w:val="22"/>
          <w:szCs w:val="22"/>
        </w:rPr>
      </w:pPr>
      <w:r>
        <w:rPr>
          <w:i/>
          <w:iCs/>
          <w:sz w:val="22"/>
          <w:szCs w:val="22"/>
        </w:rPr>
        <w:t xml:space="preserve">Making Lemons Into Lemonade:  Supervising Independent Producers </w:t>
      </w:r>
      <w:r>
        <w:rPr>
          <w:sz w:val="22"/>
          <w:szCs w:val="22"/>
        </w:rPr>
        <w:t xml:space="preserve">(Delivered to the Annual Compliance Conference of the Life Office Management Association, October 2001).  </w:t>
      </w:r>
    </w:p>
    <w:p>
      <w:pPr>
        <w:pStyle w:val="Normal"/>
        <w:widowControl/>
        <w:ind w:start="2160" w:end="0"/>
        <w:rPr>
          <w:i/>
          <w:i/>
          <w:iCs/>
          <w:sz w:val="22"/>
          <w:szCs w:val="22"/>
        </w:rPr>
      </w:pPr>
      <w:r>
        <w:rPr>
          <w:i/>
          <w:iCs/>
          <w:sz w:val="22"/>
          <w:szCs w:val="22"/>
        </w:rPr>
      </w:r>
    </w:p>
    <w:p>
      <w:pPr>
        <w:pStyle w:val="Normal"/>
        <w:widowControl/>
        <w:ind w:start="2160" w:end="0"/>
        <w:rPr/>
      </w:pPr>
      <w:r>
        <w:rPr>
          <w:i/>
          <w:iCs/>
          <w:sz w:val="22"/>
          <w:szCs w:val="22"/>
        </w:rPr>
        <w:t>Corporate Responsibility and Risk Management</w:t>
      </w:r>
      <w:r>
        <w:rPr>
          <w:sz w:val="22"/>
          <w:szCs w:val="22"/>
        </w:rPr>
        <w:t xml:space="preserve"> (Delivered to the Southeast Regional Conference (field agents and managers), January 5, 2001).</w:t>
      </w:r>
    </w:p>
    <w:p>
      <w:pPr>
        <w:pStyle w:val="Normal"/>
        <w:widowControl/>
        <w:rPr>
          <w:sz w:val="22"/>
          <w:szCs w:val="22"/>
        </w:rPr>
      </w:pPr>
      <w:r>
        <w:rPr>
          <w:sz w:val="22"/>
          <w:szCs w:val="22"/>
        </w:rPr>
      </w:r>
    </w:p>
    <w:p>
      <w:pPr>
        <w:pStyle w:val="Normal"/>
        <w:widowControl/>
        <w:ind w:start="2160" w:end="0"/>
        <w:rPr/>
      </w:pPr>
      <w:r>
        <w:rPr>
          <w:i/>
          <w:iCs/>
          <w:sz w:val="22"/>
          <w:szCs w:val="22"/>
        </w:rPr>
        <w:t>Coordinated Compliance in the Era of Convergence, Consolidation and Heightened Scrutiny</w:t>
      </w:r>
      <w:r>
        <w:rPr>
          <w:sz w:val="22"/>
          <w:szCs w:val="22"/>
        </w:rPr>
        <w:t xml:space="preserve"> (Delivered to the Annual Compliance Conference of the Life Office Management Association, September 1999).</w:t>
      </w:r>
    </w:p>
    <w:p>
      <w:pPr>
        <w:pStyle w:val="Normal"/>
        <w:widowControl/>
        <w:rPr>
          <w:sz w:val="22"/>
          <w:szCs w:val="22"/>
        </w:rPr>
      </w:pPr>
      <w:r>
        <w:rPr>
          <w:sz w:val="22"/>
          <w:szCs w:val="22"/>
        </w:rPr>
      </w:r>
    </w:p>
    <w:p>
      <w:pPr>
        <w:pStyle w:val="Normal"/>
        <w:widowControl/>
        <w:ind w:start="2160" w:end="0"/>
        <w:rPr/>
      </w:pPr>
      <w:r>
        <w:rPr>
          <w:i/>
          <w:iCs/>
          <w:sz w:val="22"/>
          <w:szCs w:val="22"/>
        </w:rPr>
        <w:t>IMSA and Best Practices</w:t>
      </w:r>
      <w:r>
        <w:rPr>
          <w:sz w:val="22"/>
          <w:szCs w:val="22"/>
        </w:rPr>
        <w:t xml:space="preserve"> (Delivered to the Annual Compliance Conference of the Life Office Management Association, September 1998).</w:t>
      </w:r>
      <w:r>
        <w:br w:type="page"/>
      </w:r>
    </w:p>
    <w:p>
      <w:pPr>
        <w:pStyle w:val="Normal"/>
        <w:widowControl/>
        <w:ind w:firstLine="2160" w:end="0"/>
        <w:rPr>
          <w:sz w:val="22"/>
          <w:szCs w:val="22"/>
        </w:rPr>
      </w:pPr>
      <w:r>
        <w:rPr>
          <w:sz w:val="22"/>
          <w:szCs w:val="22"/>
        </w:rPr>
      </w:r>
    </w:p>
    <w:p>
      <w:pPr>
        <w:pStyle w:val="Normal"/>
        <w:widowControl/>
        <w:tabs>
          <w:tab w:val="clear" w:pos="720"/>
          <w:tab w:val="left" w:pos="-1440" w:leader="none"/>
        </w:tabs>
        <w:ind w:hanging="2160" w:start="2160" w:end="0"/>
        <w:rPr/>
      </w:pPr>
      <w:r>
        <w:rPr>
          <w:b/>
          <w:bCs/>
          <w:sz w:val="22"/>
          <w:szCs w:val="20"/>
        </w:rPr>
        <w:t>BOARDS</w:t>
      </w:r>
      <w:r>
        <w:rPr>
          <w:sz w:val="22"/>
        </w:rPr>
        <w:tab/>
        <w:tab/>
      </w:r>
      <w:r>
        <w:rPr>
          <w:i/>
          <w:iCs/>
          <w:sz w:val="22"/>
          <w:szCs w:val="22"/>
        </w:rPr>
        <w:t>eSecurities</w:t>
      </w:r>
      <w:r>
        <w:rPr>
          <w:sz w:val="22"/>
          <w:szCs w:val="22"/>
        </w:rPr>
        <w:t xml:space="preserve"> (Leader Publications) (Editorial Board, 1998 - present).</w:t>
      </w:r>
    </w:p>
    <w:p>
      <w:pPr>
        <w:pStyle w:val="Normal"/>
        <w:widowControl/>
        <w:rPr>
          <w:sz w:val="22"/>
          <w:szCs w:val="22"/>
        </w:rPr>
      </w:pPr>
      <w:r>
        <w:rPr>
          <w:sz w:val="22"/>
          <w:szCs w:val="22"/>
        </w:rPr>
      </w:r>
    </w:p>
    <w:p>
      <w:pPr>
        <w:pStyle w:val="Normal"/>
        <w:widowControl/>
        <w:ind w:start="2160" w:end="0"/>
        <w:rPr>
          <w:i/>
          <w:i/>
          <w:iCs/>
          <w:sz w:val="22"/>
          <w:szCs w:val="22"/>
        </w:rPr>
      </w:pPr>
      <w:r>
        <w:rPr>
          <w:i/>
          <w:iCs/>
          <w:sz w:val="22"/>
          <w:szCs w:val="22"/>
        </w:rPr>
        <w:t xml:space="preserve">Member, Market Conduct Committee, American Council of Life Insurers.  </w:t>
      </w:r>
      <w:r>
        <w:rPr>
          <w:sz w:val="22"/>
          <w:szCs w:val="22"/>
        </w:rPr>
        <w:t>(1999-2001).</w:t>
      </w:r>
    </w:p>
    <w:p>
      <w:pPr>
        <w:pStyle w:val="Normal"/>
        <w:widowControl/>
        <w:ind w:start="2160" w:end="0"/>
        <w:rPr>
          <w:i/>
          <w:i/>
          <w:iCs/>
          <w:sz w:val="22"/>
          <w:szCs w:val="22"/>
        </w:rPr>
      </w:pPr>
      <w:r>
        <w:rPr>
          <w:i/>
          <w:iCs/>
          <w:sz w:val="22"/>
          <w:szCs w:val="22"/>
        </w:rPr>
      </w:r>
    </w:p>
    <w:p>
      <w:pPr>
        <w:pStyle w:val="Normal"/>
        <w:widowControl/>
        <w:ind w:start="2160" w:end="0"/>
        <w:rPr/>
      </w:pPr>
      <w:r>
        <w:rPr>
          <w:i/>
          <w:iCs/>
          <w:sz w:val="22"/>
          <w:szCs w:val="22"/>
        </w:rPr>
        <w:t>Holocaust Museum (Houston)</w:t>
      </w:r>
      <w:r>
        <w:rPr>
          <w:sz w:val="22"/>
          <w:szCs w:val="22"/>
        </w:rPr>
        <w:t xml:space="preserve"> (Board of Directors, 2000 - 2001).</w:t>
      </w:r>
    </w:p>
    <w:p>
      <w:pPr>
        <w:pStyle w:val="Normal"/>
        <w:widowControl/>
        <w:rPr>
          <w:i/>
          <w:i/>
          <w:iCs/>
          <w:sz w:val="22"/>
          <w:szCs w:val="22"/>
        </w:rPr>
      </w:pPr>
      <w:r>
        <w:rPr>
          <w:i/>
          <w:iCs/>
          <w:sz w:val="22"/>
          <w:szCs w:val="22"/>
        </w:rPr>
      </w:r>
    </w:p>
    <w:p>
      <w:pPr>
        <w:pStyle w:val="Normal"/>
        <w:widowControl/>
        <w:ind w:start="2160" w:end="0"/>
        <w:rPr/>
      </w:pPr>
      <w:r>
        <w:rPr>
          <w:i/>
          <w:iCs/>
          <w:spacing w:val="-4"/>
          <w:sz w:val="22"/>
          <w:szCs w:val="22"/>
        </w:rPr>
        <w:t>Greater Houston Business Ethics Roundtable</w:t>
      </w:r>
      <w:r>
        <w:rPr>
          <w:spacing w:val="-4"/>
          <w:sz w:val="22"/>
          <w:szCs w:val="22"/>
        </w:rPr>
        <w:t xml:space="preserve"> (Board of Directors, 1999 - present)</w:t>
      </w:r>
      <w:r>
        <w:rPr>
          <w:i/>
          <w:iCs/>
          <w:spacing w:val="-4"/>
          <w:sz w:val="22"/>
          <w:szCs w:val="22"/>
        </w:rPr>
        <w:t>.</w:t>
      </w:r>
    </w:p>
    <w:p>
      <w:pPr>
        <w:pStyle w:val="Normal"/>
        <w:widowControl/>
        <w:rPr>
          <w:i/>
          <w:i/>
          <w:iCs/>
          <w:spacing w:val="-4"/>
          <w:sz w:val="22"/>
          <w:szCs w:val="22"/>
        </w:rPr>
      </w:pPr>
      <w:r>
        <w:rPr>
          <w:i/>
          <w:iCs/>
          <w:spacing w:val="-4"/>
          <w:sz w:val="22"/>
          <w:szCs w:val="22"/>
        </w:rPr>
      </w:r>
    </w:p>
    <w:p>
      <w:pPr>
        <w:pStyle w:val="Normal"/>
        <w:widowControl/>
        <w:ind w:start="2160" w:end="0"/>
        <w:rPr>
          <w:sz w:val="22"/>
        </w:rPr>
      </w:pPr>
      <w:r>
        <w:rPr>
          <w:i/>
          <w:iCs/>
          <w:sz w:val="22"/>
          <w:szCs w:val="22"/>
        </w:rPr>
        <w:t>Federal Regulation of Securities, Annotated</w:t>
      </w:r>
      <w:r>
        <w:rPr>
          <w:sz w:val="22"/>
          <w:szCs w:val="22"/>
        </w:rPr>
        <w:t xml:space="preserve"> (Lawyers Cooperative Publishing) (Editorial Board, 1994 - 1997).</w:t>
      </w:r>
    </w:p>
    <w:p>
      <w:pPr>
        <w:pStyle w:val="Normal"/>
        <w:widowControl/>
        <w:rPr>
          <w:sz w:val="22"/>
        </w:rPr>
      </w:pPr>
      <w:r>
        <w:rPr>
          <w:sz w:val="22"/>
        </w:rPr>
      </w:r>
    </w:p>
    <w:p>
      <w:pPr>
        <w:pStyle w:val="Normal"/>
        <w:widowControl/>
        <w:tabs>
          <w:tab w:val="clear" w:pos="720"/>
          <w:tab w:val="left" w:pos="-1440" w:leader="none"/>
        </w:tabs>
        <w:ind w:hanging="2160" w:start="2160" w:end="0"/>
        <w:rPr/>
      </w:pPr>
      <w:r>
        <w:rPr>
          <w:b/>
          <w:bCs/>
          <w:sz w:val="22"/>
          <w:szCs w:val="20"/>
        </w:rPr>
        <w:t>BAR ADMISSIONS</w:t>
      </w:r>
      <w:r>
        <w:rPr>
          <w:sz w:val="22"/>
        </w:rPr>
        <w:tab/>
      </w:r>
      <w:r>
        <w:rPr>
          <w:sz w:val="22"/>
          <w:szCs w:val="22"/>
        </w:rPr>
        <w:t>Member of the bars of Pennsylvania, District of Columbia, United States Courts of Appeals for the Third Circuit and the District of Columbia, United States District Court for the District of Columbia.  Application pending in Texas.</w:t>
      </w:r>
    </w:p>
    <w:sectPr>
      <w:headerReference w:type="default" r:id="rId2"/>
      <w:headerReference w:type="first" r:id="rId3"/>
      <w:footerReference w:type="default" r:id="rId4"/>
      <w:footerReference w:type="first" r:id="rId5"/>
      <w:type w:val="nextPage"/>
      <w:pgSz w:w="12240" w:h="15840"/>
      <w:pgMar w:left="1440" w:right="1440" w:gutter="0" w:header="1440" w:top="1496"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2001-11-15T20:49:00Z</dcterms:created>
  <dc:creator>haines</dc:creator>
  <dc:description/>
  <dc:language>en-CA</dc:language>
  <cp:lastModifiedBy>abikoff</cp:lastModifiedBy>
  <cp:lastPrinted>2001-11-15T18:01:00Z</cp:lastPrinted>
  <dcterms:modified xsi:type="dcterms:W3CDTF">2001-11-15T20:49:00Z</dcterms:modified>
  <cp:revision>2</cp:revision>
  <dc:subject/>
  <dc:title>Kevin T</dc:title>
</cp:coreProperties>
</file>