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O:\LEGAL\MCOOK\WORK-GENERAL\KSTAR ISDA.DOC</w:t>
      </w:r>
    </w:p>
    <w:p>
      <w:pPr>
        <w:pStyle w:val="Normal"/>
        <w:rPr/>
      </w:pPr>
      <w:r>
        <w:rPr/>
        <w:t>and revised document: O:\LEGAL\MCOOK\WORK-GENERAL\KSTAR ISDA A.DOC</w:t>
      </w:r>
    </w:p>
    <w:p>
      <w:pPr>
        <w:pStyle w:val="Normal"/>
        <w:rPr/>
      </w:pPr>
      <w:r>
        <w:rPr/>
      </w:r>
    </w:p>
    <w:p>
      <w:pPr>
        <w:pStyle w:val="Normal"/>
        <w:rPr/>
      </w:pPr>
      <w:r>
        <w:rPr/>
        <w:t>CompareRite found    5 change(s) in the text</w:t>
      </w:r>
    </w:p>
    <w:p>
      <w:pPr>
        <w:pStyle w:val="Normal"/>
        <w:rPr/>
      </w:pPr>
      <w:r>
        <w:rPr/>
      </w:r>
    </w:p>
    <w:p>
      <w:pPr>
        <w:pStyle w:val="Normal"/>
        <w:rPr/>
      </w:pPr>
      <w:r>
        <w:rPr/>
        <w:t>Deletions appear as Overstrike text surrounded by {}</w:t>
      </w:r>
    </w:p>
    <w:p>
      <w:pPr>
        <w:pStyle w:val="Normal"/>
        <w:rPr/>
      </w:pPr>
      <w:r>
        <w:rPr/>
        <w:t>Additions appear as Bold text surrounded by []</w:t>
      </w:r>
      <w:r>
        <w:br w:type="page"/>
      </w:r>
    </w:p>
    <w:p>
      <w:pPr>
        <w:pStyle w:val="Normal"/>
        <w:widowControl/>
        <w:jc w:val="end"/>
        <w:rPr>
          <w:b/>
          <w:bCs/>
          <w:sz w:val="22"/>
          <w:szCs w:val="22"/>
          <w:u w:val="single"/>
        </w:rPr>
      </w:pPr>
      <w:r>
        <w:rPr>
          <w:b/>
          <w:bCs/>
          <w:sz w:val="22"/>
          <w:szCs w:val="22"/>
          <w:u w:val="single"/>
        </w:rPr>
      </w:r>
    </w:p>
    <w:p>
      <w:pPr>
        <w:pStyle w:val="Normal"/>
        <w:widowControl/>
        <w:jc w:val="end"/>
        <w:rPr>
          <w:b/>
          <w:bCs/>
          <w:sz w:val="22"/>
          <w:szCs w:val="22"/>
          <w:u w:val="single"/>
        </w:rPr>
      </w:pPr>
      <w:r>
        <w:rPr>
          <w:b/>
          <w:bCs/>
          <w:sz w:val="22"/>
          <w:szCs w:val="22"/>
          <w:u w:val="single"/>
        </w:rPr>
      </w:r>
    </w:p>
    <w:p>
      <w:pPr>
        <w:pStyle w:val="Normal"/>
        <w:widowControl/>
        <w:jc w:val="end"/>
        <w:rPr>
          <w:b/>
          <w:bCs/>
          <w:sz w:val="22"/>
          <w:szCs w:val="22"/>
          <w:u w:val="single"/>
        </w:rPr>
      </w:pPr>
      <w:r>
        <w:rPr>
          <w:b/>
          <w:bCs/>
          <w:sz w:val="22"/>
          <w:szCs w:val="22"/>
          <w:u w:val="single"/>
        </w:rPr>
      </w:r>
    </w:p>
    <w:p>
      <w:pPr>
        <w:pStyle w:val="BodyText3"/>
        <w:widowControl/>
        <w:rPr/>
      </w:pPr>
      <w:r>
        <w:rPr/>
        <w:t>SCHEDULE</w:t>
        <w:br/>
        <w:t>to the</w:t>
        <w:br/>
        <w:t>MASTER AGREEMENT</w:t>
        <w:br/>
        <w:t>(Multicurrency-Cross Border)</w:t>
      </w:r>
    </w:p>
    <w:p>
      <w:pPr>
        <w:pStyle w:val="Normal"/>
        <w:widowControl/>
        <w:tabs>
          <w:tab w:val="clear" w:pos="720"/>
          <w:tab w:val="center" w:pos="5760" w:leader="none"/>
        </w:tabs>
        <w:spacing w:before="120" w:after="0"/>
        <w:jc w:val="center"/>
        <w:rPr/>
      </w:pPr>
      <w:r>
        <w:rPr>
          <w:b/>
          <w:bCs/>
          <w:sz w:val="22"/>
          <w:szCs w:val="22"/>
        </w:rPr>
        <w:t xml:space="preserve">dated [effective] as of June </w:t>
      </w:r>
      <w:r>
        <w:rPr>
          <w:b/>
          <w:bCs/>
          <w:strike/>
          <w:sz w:val="22"/>
          <w:szCs w:val="22"/>
        </w:rPr>
        <w:t>{__}</w:t>
      </w:r>
      <w:r>
        <w:rPr>
          <w:b/>
          <w:bCs/>
          <w:sz w:val="22"/>
          <w:szCs w:val="22"/>
        </w:rPr>
        <w:t>[1], 2001</w:t>
      </w:r>
    </w:p>
    <w:p>
      <w:pPr>
        <w:pStyle w:val="Normal"/>
        <w:widowContro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widowControl/>
              <w:tabs>
                <w:tab w:val="clear" w:pos="720"/>
                <w:tab w:val="center" w:pos="5760" w:leader="none"/>
              </w:tabs>
              <w:spacing w:before="240" w:after="0"/>
              <w:jc w:val="center"/>
              <w:rPr/>
            </w:pPr>
            <w:r>
              <w:rPr>
                <w:b/>
                <w:bCs/>
                <w:sz w:val="22"/>
                <w:szCs w:val="22"/>
              </w:rPr>
              <w:t xml:space="preserve">KSTAR VPP </w:t>
            </w:r>
            <w:r>
              <w:rPr>
                <w:b/>
                <w:bCs/>
                <w:strike/>
                <w:sz w:val="22"/>
                <w:szCs w:val="22"/>
              </w:rPr>
              <w:t>{LIMITED PARTNERSHIP}</w:t>
            </w:r>
            <w:r>
              <w:rPr>
                <w:b/>
                <w:bCs/>
                <w:sz w:val="22"/>
                <w:szCs w:val="22"/>
              </w:rPr>
              <w:t xml:space="preserve"> [LP], a limited partnership organized under the law of the State of Delaware (“Party B”)</w:t>
            </w:r>
          </w:p>
          <w:p>
            <w:pPr>
              <w:pStyle w:val="Normal"/>
              <w:widowControl/>
              <w:tabs>
                <w:tab w:val="clear" w:pos="720"/>
                <w:tab w:val="center" w:pos="5760" w:leader="none"/>
              </w:tabs>
              <w:spacing w:before="240" w:after="0"/>
              <w:jc w:val="center"/>
              <w:rPr>
                <w:b/>
                <w:bCs/>
                <w:color w:val="7F7F00"/>
                <w:sz w:val="22"/>
                <w:szCs w:val="22"/>
              </w:rPr>
            </w:pPr>
            <w:r>
              <w:rPr>
                <w:b/>
                <w:bCs/>
                <w:color w:val="7F7F00"/>
                <w:sz w:val="22"/>
                <w:szCs w:val="22"/>
              </w:rPr>
            </w:r>
          </w:p>
        </w:tc>
      </w:tr>
    </w:tbl>
    <w:p>
      <w:pPr>
        <w:pStyle w:val="Normal"/>
        <w:widowContro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widowContro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widowContro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not apply to Party A, and will not apply to Party B.  </w:t>
      </w:r>
    </w:p>
    <w:p>
      <w:pPr>
        <w:pStyle w:val="Normal"/>
        <w:widowContro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below amended, will apply only to Party A’s Credit Support Provider.</w:t>
      </w:r>
    </w:p>
    <w:p>
      <w:pPr>
        <w:pStyle w:val="Normal"/>
        <w:widowContro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widowControl/>
        <w:tabs>
          <w:tab w:val="clear" w:pos="720"/>
          <w:tab w:val="left" w:pos="1440" w:leader="none"/>
        </w:tabs>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of this Agreement: (i) the Second Method will apply and (ii) Loss will apply.  </w:t>
      </w:r>
    </w:p>
    <w:p>
      <w:pPr>
        <w:pStyle w:val="Normal"/>
        <w:widowControl/>
        <w:tabs>
          <w:tab w:val="clear" w:pos="720"/>
          <w:tab w:val="left" w:pos="1440" w:leader="none"/>
        </w:tabs>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widowControl/>
        <w:spacing w:lineRule="exact" w:line="240" w:before="240" w:after="0"/>
        <w:ind w:firstLine="720" w:end="0"/>
        <w:jc w:val="both"/>
        <w:rPr/>
      </w:pPr>
      <w:r>
        <w:rPr>
          <w:sz w:val="22"/>
          <w:szCs w:val="22"/>
        </w:rPr>
        <w:t>(g)</w:t>
        <w:tab/>
      </w:r>
      <w:r>
        <w:rPr>
          <w:b/>
          <w:bCs/>
          <w:sz w:val="22"/>
          <w:szCs w:val="22"/>
        </w:rPr>
        <w:t>Amendment of Credit Event Upon Merger.</w:t>
      </w:r>
      <w:r>
        <w:rPr>
          <w:sz w:val="22"/>
          <w:szCs w:val="22"/>
        </w:rPr>
        <w:t xml:space="preserve">  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that the foregoing action or event shall not constitute a Termination Event if immediately after giving effect to such occurrence, no Event of Default, as such term is defined in the Enron Guaranty (below defined), shall exist.”</w:t>
      </w:r>
    </w:p>
    <w:p>
      <w:pPr>
        <w:pStyle w:val="Normal"/>
        <w:widowContro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widowControl/>
        <w:spacing w:lineRule="exact" w:line="240" w:before="480" w:after="0"/>
        <w:jc w:val="both"/>
        <w:rPr>
          <w:b/>
          <w:bCs/>
          <w:sz w:val="22"/>
          <w:szCs w:val="22"/>
        </w:rPr>
      </w:pPr>
      <w:r>
        <w:rPr>
          <w:b/>
          <w:bCs/>
          <w:sz w:val="22"/>
          <w:szCs w:val="22"/>
        </w:rPr>
        <w:t>Part 2.  Tax Representations.</w:t>
      </w:r>
    </w:p>
    <w:p>
      <w:pPr>
        <w:pStyle w:val="Normal"/>
        <w:widowControl/>
        <w:spacing w:lineRule="exact" w:line="240" w:before="240" w:after="0"/>
        <w:ind w:hanging="720" w:start="720" w:end="0"/>
        <w:jc w:val="both"/>
        <w:rPr/>
      </w:pPr>
      <w:r>
        <w:rPr>
          <w:b/>
          <w:bCs/>
          <w:sz w:val="22"/>
          <w:szCs w:val="22"/>
        </w:rPr>
        <w:t xml:space="preserve">Payer Representations.  </w:t>
      </w:r>
      <w:r>
        <w:rPr>
          <w:sz w:val="22"/>
          <w:szCs w:val="22"/>
        </w:rPr>
        <w:t>For the purpose of Section 3(e), Party A and Party B make the following representation:</w:t>
      </w:r>
    </w:p>
    <w:p>
      <w:pPr>
        <w:pStyle w:val="Normal"/>
        <w:widowContro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b/>
          <w:bCs/>
          <w:sz w:val="22"/>
          <w:szCs w:val="22"/>
        </w:rPr>
        <w:t xml:space="preserve">Payee Representations.  </w:t>
      </w:r>
      <w:r>
        <w:rPr>
          <w:sz w:val="22"/>
          <w:szCs w:val="22"/>
        </w:rPr>
        <w:t>For the purpose of Section 3(f), Party A and Party B make the following representations:</w:t>
      </w:r>
    </w:p>
    <w:p>
      <w:pPr>
        <w:pStyle w:val="Normal"/>
        <w:widowControl/>
        <w:spacing w:lineRule="exact" w:line="240" w:before="240" w:after="0"/>
        <w:ind w:hanging="720" w:start="900" w:end="0"/>
        <w:jc w:val="both"/>
        <w:rPr>
          <w:sz w:val="22"/>
          <w:szCs w:val="22"/>
        </w:rPr>
      </w:pPr>
      <w:r>
        <w:rPr>
          <w:sz w:val="22"/>
          <w:szCs w:val="22"/>
        </w:rPr>
        <w:t>(a)</w:t>
        <w:tab/>
        <w:t>The following representation applies to Party A:</w:t>
      </w:r>
    </w:p>
    <w:p>
      <w:pPr>
        <w:pStyle w:val="Normal"/>
        <w:widowControl/>
        <w:spacing w:lineRule="exact" w:line="240" w:before="240" w:after="0"/>
        <w:ind w:start="900" w:end="0"/>
        <w:jc w:val="both"/>
        <w:rPr>
          <w:sz w:val="22"/>
          <w:szCs w:val="22"/>
        </w:rPr>
      </w:pPr>
      <w:r>
        <w:rPr>
          <w:sz w:val="22"/>
          <w:szCs w:val="22"/>
        </w:rPr>
        <w:t>Party A is a corporation organized under the laws of the State of Delaware.</w:t>
      </w:r>
    </w:p>
    <w:p>
      <w:pPr>
        <w:pStyle w:val="Normal"/>
        <w:widowControl/>
        <w:spacing w:lineRule="exact" w:line="240" w:before="240" w:after="0"/>
        <w:ind w:hanging="720" w:start="900" w:end="0"/>
        <w:jc w:val="both"/>
        <w:rPr>
          <w:sz w:val="22"/>
          <w:szCs w:val="22"/>
        </w:rPr>
      </w:pPr>
      <w:r>
        <w:rPr>
          <w:sz w:val="22"/>
          <w:szCs w:val="22"/>
        </w:rPr>
        <w:t>(b)</w:t>
        <w:tab/>
        <w:t>The following representation applies to Party B:</w:t>
      </w:r>
    </w:p>
    <w:p>
      <w:pPr>
        <w:pStyle w:val="Normal"/>
        <w:widowControl/>
        <w:spacing w:lineRule="exact" w:line="240" w:before="240" w:after="0"/>
        <w:ind w:firstLine="180" w:start="720" w:end="720"/>
        <w:jc w:val="both"/>
        <w:rPr>
          <w:color w:val="7F007F"/>
          <w:sz w:val="22"/>
          <w:szCs w:val="22"/>
        </w:rPr>
      </w:pPr>
      <w:r>
        <w:rPr>
          <w:sz w:val="22"/>
          <w:szCs w:val="22"/>
        </w:rPr>
        <w:t>Party B is a limited partnership organized under the laws of the State of Delaware.</w:t>
      </w:r>
    </w:p>
    <w:p>
      <w:pPr>
        <w:pStyle w:val="Normal"/>
        <w:widowControl/>
        <w:spacing w:lineRule="exact" w:line="240" w:before="480" w:after="0"/>
        <w:jc w:val="both"/>
        <w:rPr>
          <w:b/>
          <w:bCs/>
          <w:sz w:val="22"/>
          <w:szCs w:val="22"/>
        </w:rPr>
      </w:pPr>
      <w:r>
        <w:rPr>
          <w:b/>
          <w:bCs/>
          <w:sz w:val="22"/>
          <w:szCs w:val="22"/>
        </w:rPr>
        <w:t>Part 3.  Miscellaneous.</w:t>
      </w:r>
    </w:p>
    <w:p>
      <w:pPr>
        <w:pStyle w:val="Normal"/>
        <w:widowContro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widowControl/>
        <w:spacing w:lineRule="exact" w:line="240" w:before="240" w:after="0"/>
        <w:jc w:val="both"/>
        <w:rPr>
          <w:sz w:val="22"/>
          <w:szCs w:val="22"/>
        </w:rPr>
      </w:pPr>
      <w:r>
        <w:rPr>
          <w:sz w:val="22"/>
          <w:szCs w:val="22"/>
        </w:rPr>
        <w:t>Address for notices or communications to Party A:</w:t>
      </w:r>
    </w:p>
    <w:p>
      <w:pPr>
        <w:pStyle w:val="Normal"/>
        <w:widowContro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widowContro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widowContro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widowContro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widowControl/>
              <w:tabs>
                <w:tab w:val="clear" w:pos="720"/>
                <w:tab w:val="left" w:pos="4230" w:leader="none"/>
                <w:tab w:val="left" w:pos="9360" w:leader="none"/>
              </w:tabs>
              <w:spacing w:lineRule="exact" w:line="240"/>
              <w:jc w:val="both"/>
              <w:rPr>
                <w:sz w:val="22"/>
                <w:szCs w:val="22"/>
              </w:rPr>
            </w:pPr>
            <w:r>
              <w:rPr>
                <w:sz w:val="22"/>
                <w:szCs w:val="22"/>
              </w:rPr>
              <w:t>P.O. Box 4428</w:t>
            </w:r>
          </w:p>
          <w:p>
            <w:pPr>
              <w:pStyle w:val="Normal"/>
              <w:widowContro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widowContro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widowContro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widowContro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widowControl/>
        <w:tabs>
          <w:tab w:val="clear" w:pos="720"/>
          <w:tab w:val="right" w:pos="9360" w:leader="dot"/>
        </w:tabs>
        <w:spacing w:lineRule="exact" w:line="240" w:before="240" w:after="0"/>
        <w:jc w:val="both"/>
        <w:rPr>
          <w:sz w:val="22"/>
          <w:szCs w:val="22"/>
        </w:rPr>
      </w:pPr>
      <w:r>
        <w:rPr>
          <w:sz w:val="22"/>
          <w:szCs w:val="22"/>
        </w:rPr>
        <w:t>A copy of any notice sent to Party A pursuant to Section 5 or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spacing w:lineRule="exact" w:line="240"/>
        <w:jc w:val="both"/>
        <w:rPr>
          <w:sz w:val="22"/>
          <w:szCs w:val="22"/>
        </w:rPr>
      </w:pPr>
      <w:r>
        <w:rPr>
          <w:sz w:val="22"/>
          <w:szCs w:val="22"/>
        </w:rPr>
      </w:r>
    </w:p>
    <w:p>
      <w:pPr>
        <w:pStyle w:val="Normal"/>
        <w:widowContro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widowContro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widowContro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widowContro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widowControl/>
              <w:tabs>
                <w:tab w:val="clear" w:pos="720"/>
                <w:tab w:val="left" w:pos="3762" w:leader="none"/>
                <w:tab w:val="left" w:pos="4230" w:leader="none"/>
                <w:tab w:val="left" w:pos="9360" w:leader="none"/>
              </w:tabs>
              <w:spacing w:lineRule="exact" w:line="240"/>
              <w:jc w:val="both"/>
              <w:rPr>
                <w:sz w:val="22"/>
                <w:szCs w:val="22"/>
              </w:rPr>
            </w:pPr>
            <w:r>
              <w:rPr>
                <w:sz w:val="22"/>
                <w:szCs w:val="22"/>
              </w:rPr>
              <w:t>Kstar VPP Limited Partnership</w:t>
            </w:r>
          </w:p>
          <w:p>
            <w:pPr>
              <w:pStyle w:val="Normal"/>
              <w:keepNext w:val="true"/>
              <w:widowControl/>
              <w:tabs>
                <w:tab w:val="clear" w:pos="720"/>
                <w:tab w:val="left" w:pos="3762" w:leader="none"/>
                <w:tab w:val="left" w:pos="4230" w:leader="none"/>
                <w:tab w:val="left" w:pos="9360" w:leader="none"/>
              </w:tabs>
              <w:spacing w:lineRule="exact" w:line="240"/>
              <w:jc w:val="both"/>
              <w:rPr>
                <w:sz w:val="22"/>
                <w:szCs w:val="22"/>
              </w:rPr>
            </w:pPr>
            <w:r>
              <w:rPr>
                <w:sz w:val="22"/>
                <w:szCs w:val="22"/>
              </w:rPr>
              <w:t>c/o Maguey VPP, L.L.C.</w:t>
            </w:r>
          </w:p>
          <w:p>
            <w:pPr>
              <w:pStyle w:val="Normal"/>
              <w:widowControl/>
              <w:tabs>
                <w:tab w:val="clear" w:pos="720"/>
                <w:tab w:val="left" w:pos="4230" w:leader="none"/>
                <w:tab w:val="left" w:pos="9360" w:leader="none"/>
              </w:tabs>
              <w:spacing w:lineRule="exact" w:line="240"/>
              <w:jc w:val="both"/>
              <w:rPr>
                <w:sz w:val="22"/>
                <w:szCs w:val="22"/>
              </w:rPr>
            </w:pPr>
            <w:r>
              <w:rPr>
                <w:sz w:val="22"/>
                <w:szCs w:val="22"/>
              </w:rPr>
              <w:t>P.O. Box 4428</w:t>
            </w:r>
          </w:p>
          <w:p>
            <w:pPr>
              <w:pStyle w:val="Normal"/>
              <w:widowContro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widowContro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widowControl/>
              <w:tabs>
                <w:tab w:val="clear" w:pos="720"/>
                <w:tab w:val="left" w:pos="4230" w:leader="none"/>
                <w:tab w:val="left" w:pos="9360" w:leader="none"/>
              </w:tabs>
              <w:spacing w:lineRule="exact" w:line="240"/>
              <w:jc w:val="both"/>
              <w:rPr>
                <w:sz w:val="22"/>
                <w:szCs w:val="22"/>
              </w:rPr>
            </w:pPr>
            <w:r>
              <w:rPr>
                <w:sz w:val="22"/>
                <w:szCs w:val="22"/>
              </w:rPr>
              <w:t>Houston, Texas 77002</w:t>
            </w:r>
          </w:p>
          <w:p>
            <w:pPr>
              <w:pStyle w:val="Normal"/>
              <w:keepNext w:val="true"/>
              <w:widowControl/>
              <w:tabs>
                <w:tab w:val="clear" w:pos="720"/>
                <w:tab w:val="left" w:pos="3762" w:leader="none"/>
                <w:tab w:val="left" w:pos="4230" w:leader="none"/>
                <w:tab w:val="left" w:pos="9360" w:leader="none"/>
              </w:tabs>
              <w:spacing w:lineRule="exact" w:line="240"/>
              <w:jc w:val="both"/>
              <w:rPr>
                <w:sz w:val="22"/>
                <w:szCs w:val="22"/>
              </w:rPr>
            </w:pPr>
            <w:r>
              <w:rPr>
                <w:sz w:val="22"/>
                <w:szCs w:val="22"/>
              </w:rPr>
              <w:t>Attn:  Shirley Hudler, Director</w:t>
            </w:r>
          </w:p>
        </w:tc>
        <w:tc>
          <w:tcPr>
            <w:tcW w:w="3290" w:type="dxa"/>
            <w:tcBorders/>
          </w:tcPr>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(713) 646-3422</w:t>
            </w:r>
          </w:p>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(713) 853-4859</w:t>
            </w:r>
          </w:p>
        </w:tc>
      </w:tr>
    </w:tbl>
    <w:p>
      <w:pPr>
        <w:pStyle w:val="Normal"/>
        <w:widowControl/>
        <w:tabs>
          <w:tab w:val="clear" w:pos="720"/>
          <w:tab w:val="right" w:pos="9360" w:leader="dot"/>
        </w:tabs>
        <w:spacing w:lineRule="exact" w:line="240" w:before="240" w:after="0"/>
        <w:jc w:val="both"/>
        <w:rPr>
          <w:sz w:val="22"/>
          <w:szCs w:val="22"/>
        </w:rPr>
      </w:pPr>
      <w:r>
        <w:rPr>
          <w:sz w:val="22"/>
          <w:szCs w:val="22"/>
        </w:rPr>
        <w:t>A copy of any notice sent to Party B pursuant to Section 5 or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widowControl/>
        <w:tabs>
          <w:tab w:val="clear" w:pos="720"/>
          <w:tab w:val="left" w:pos="1440" w:leader="none"/>
        </w:tabs>
        <w:spacing w:lineRule="exact" w:line="240" w:before="240" w:after="0"/>
        <w:ind w:hanging="720" w:start="1440" w:end="0"/>
        <w:jc w:val="both"/>
        <w:rPr/>
      </w:pPr>
      <w:r>
        <w:rPr>
          <w:sz w:val="22"/>
          <w:szCs w:val="22"/>
        </w:rPr>
        <w:t>(c)</w:t>
        <w:tab/>
      </w:r>
      <w:r>
        <w:rPr>
          <w:b/>
          <w:bCs/>
          <w:sz w:val="22"/>
          <w:szCs w:val="22"/>
        </w:rPr>
        <w:t>Calculation Agent.</w:t>
      </w:r>
      <w:r>
        <w:rPr>
          <w:sz w:val="22"/>
          <w:szCs w:val="22"/>
        </w:rPr>
        <w:t xml:space="preserve">  The Calculation Agent is Party A.</w:t>
      </w:r>
    </w:p>
    <w:p>
      <w:pPr>
        <w:pStyle w:val="Normal"/>
        <w:widowControl/>
        <w:tabs>
          <w:tab w:val="clear" w:pos="720"/>
          <w:tab w:val="left" w:pos="0" w:leader="none"/>
        </w:tabs>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(as may be amended from time to time, the “Enron Guaranty”) and (ii) ISDA Credit Support Annex attached hereto as Annex A. </w:t>
      </w:r>
    </w:p>
    <w:p>
      <w:pPr>
        <w:pStyle w:val="Normal"/>
        <w:widowContro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widowContro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widowContro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widowControl/>
        <w:spacing w:lineRule="exact" w:line="240" w:before="240" w:after="0"/>
        <w:ind w:firstLine="720" w:end="0"/>
        <w:jc w:val="both"/>
        <w:rPr/>
      </w:pPr>
      <w:r>
        <w:rPr>
          <w:sz w:val="22"/>
          <w:szCs w:val="22"/>
        </w:rPr>
        <w:t xml:space="preserve">(h) </w:t>
        <w:tab/>
      </w:r>
      <w:r>
        <w:rPr>
          <w:b/>
          <w:bCs/>
          <w:sz w:val="22"/>
          <w:szCs w:val="22"/>
        </w:rPr>
        <w:t xml:space="preserve">Jurisdiction.  </w:t>
      </w:r>
      <w:r>
        <w:rPr>
          <w:sz w:val="22"/>
          <w:szCs w:val="22"/>
        </w:rPr>
        <w:t xml:space="preserve">Section 13(b) is hereby deleted in its entirety and replaced with the following:                                                                                                                                                                                                                                                                                                                                            </w:t>
      </w:r>
    </w:p>
    <w:p>
      <w:pPr>
        <w:pStyle w:val="Normal"/>
        <w:widowControl/>
        <w:ind w:start="720" w:end="0"/>
        <w:jc w:val="both"/>
        <w:rPr>
          <w:sz w:val="22"/>
          <w:szCs w:val="22"/>
        </w:rPr>
      </w:pPr>
      <w:r>
        <w:rPr>
          <w:sz w:val="22"/>
          <w:szCs w:val="22"/>
        </w:rPr>
      </w:r>
    </w:p>
    <w:p>
      <w:pPr>
        <w:pStyle w:val="Normal"/>
        <w:widowControl/>
        <w:ind w:start="720" w:end="0"/>
        <w:jc w:val="both"/>
        <w:rPr/>
      </w:pP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sz w:val="22"/>
          <w:szCs w:val="22"/>
        </w:rPr>
      </w:pPr>
      <w:r>
        <w:rPr>
          <w:sz w:val="22"/>
          <w:szCs w:val="22"/>
        </w:rPr>
      </w:r>
    </w:p>
    <w:p>
      <w:pPr>
        <w:pStyle w:val="Normal"/>
        <w:widowContro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sz w:val="22"/>
          <w:szCs w:val="22"/>
        </w:rPr>
      </w:pPr>
      <w:r>
        <w:rPr>
          <w:sz w:val="22"/>
          <w:szCs w:val="22"/>
        </w:rPr>
      </w:r>
    </w:p>
    <w:p>
      <w:pPr>
        <w:pStyle w:val="Normal"/>
        <w:widowContro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sz w:val="22"/>
          <w:szCs w:val="22"/>
        </w:rPr>
      </w:pPr>
      <w:r>
        <w:rPr>
          <w:sz w:val="22"/>
          <w:szCs w:val="22"/>
        </w:rPr>
      </w:r>
    </w:p>
    <w:p>
      <w:pPr>
        <w:pStyle w:val="Normal"/>
        <w:widowContro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widowControl/>
        <w:spacing w:lineRule="exact" w:line="240" w:before="480" w:after="0"/>
        <w:jc w:val="both"/>
        <w:rPr>
          <w:b/>
          <w:bCs/>
          <w:sz w:val="22"/>
          <w:szCs w:val="22"/>
        </w:rPr>
      </w:pPr>
      <w:r>
        <w:rPr>
          <w:b/>
          <w:bCs/>
          <w:sz w:val="22"/>
          <w:szCs w:val="22"/>
        </w:rPr>
        <w:t>Part 4.  Other Provisions.</w:t>
      </w:r>
    </w:p>
    <w:p>
      <w:pPr>
        <w:pStyle w:val="Normal"/>
        <w:widowControl/>
        <w:spacing w:lineRule="exact" w:line="240" w:before="240" w:after="0"/>
        <w:ind w:firstLine="720" w:end="0"/>
        <w:jc w:val="both"/>
        <w:rPr/>
      </w:pPr>
      <w:r>
        <w:rPr>
          <w:sz w:val="22"/>
          <w:szCs w:val="22"/>
        </w:rPr>
        <w:t>(a)</w:t>
        <w:tab/>
      </w:r>
      <w:r>
        <w:rPr>
          <w:b/>
          <w:bCs/>
          <w:sz w:val="22"/>
          <w:szCs w:val="22"/>
        </w:rPr>
        <w:t>Default Sections not Applicable.</w:t>
      </w:r>
      <w:r>
        <w:rPr>
          <w:sz w:val="22"/>
          <w:szCs w:val="22"/>
        </w:rPr>
        <w:t xml:space="preserve">  Sections 5(a)(v) and (vi) will not apply to Party A or to Party B.</w:t>
      </w:r>
    </w:p>
    <w:p>
      <w:pPr>
        <w:pStyle w:val="Normal"/>
        <w:widowControl/>
        <w:spacing w:lineRule="exact" w:line="240" w:before="240" w:after="0"/>
        <w:ind w:firstLine="720" w:end="0"/>
        <w:jc w:val="both"/>
        <w:rPr/>
      </w:pPr>
      <w:r>
        <w:rPr>
          <w:sz w:val="22"/>
          <w:szCs w:val="22"/>
        </w:rPr>
        <w:t>(b)</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spacing w:lineRule="exact" w:line="240" w:before="240" w:after="0"/>
        <w:ind w:firstLine="720" w:end="0"/>
        <w:jc w:val="both"/>
        <w:rPr/>
      </w:pPr>
      <w:r>
        <w:rPr>
          <w:sz w:val="22"/>
          <w:szCs w:val="22"/>
        </w:rPr>
        <w:t>(c)</w:t>
        <w:tab/>
      </w:r>
      <w:r>
        <w:rPr>
          <w:b/>
          <w:bCs/>
          <w:sz w:val="22"/>
          <w:szCs w:val="22"/>
        </w:rPr>
        <w:t>Representations.</w:t>
      </w:r>
      <w:r>
        <w:rPr>
          <w:sz w:val="22"/>
          <w:szCs w:val="22"/>
        </w:rPr>
        <w:t xml:space="preserve">  Section 3 is hereby amended by adding at the end thereof the following Subsections (g) and (h):</w:t>
      </w:r>
    </w:p>
    <w:p>
      <w:pPr>
        <w:pStyle w:val="Normal"/>
        <w:widowContro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widowContro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spacing w:lineRule="exact" w:line="240" w:before="240" w:after="0"/>
        <w:ind w:firstLine="720" w:end="0"/>
        <w:jc w:val="both"/>
        <w:rPr/>
      </w:pPr>
      <w:r>
        <w:rPr>
          <w:sz w:val="22"/>
          <w:szCs w:val="22"/>
        </w:rPr>
        <w:t xml:space="preserve"> </w:t>
      </w: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widowControl/>
        <w:spacing w:lineRule="exact" w:line="240" w:before="240" w:after="0"/>
        <w:ind w:firstLine="720" w:end="0"/>
        <w:jc w:val="both"/>
        <w:rPr/>
      </w:pPr>
      <w:r>
        <w:rPr>
          <w:sz w:val="22"/>
          <w:szCs w:val="22"/>
        </w:rPr>
        <w:t xml:space="preserve"> </w:t>
      </w:r>
      <w:r>
        <w:rPr>
          <w:sz w:val="22"/>
          <w:szCs w:val="22"/>
        </w:rPr>
        <w:t>(e)</w:t>
        <w:tab/>
      </w:r>
      <w:r>
        <w:rPr>
          <w:b/>
          <w:bCs/>
          <w:sz w:val="22"/>
          <w:szCs w:val="22"/>
        </w:rPr>
        <w:t>Definitions.</w:t>
      </w:r>
      <w:r>
        <w:rPr>
          <w:sz w:val="22"/>
          <w:szCs w:val="22"/>
        </w:rPr>
        <w:t xml:space="preserve">  This Agreement, each Confirmation, and each Transaction are subject to the 2000 ISDA Definitions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widowContro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spacing w:lineRule="exact" w:line="240"/>
        <w:ind w:firstLine="630" w:end="0"/>
        <w:jc w:val="both"/>
        <w:rPr>
          <w:sz w:val="22"/>
          <w:szCs w:val="22"/>
        </w:rPr>
      </w:pPr>
      <w:r>
        <w:rPr>
          <w:sz w:val="22"/>
          <w:szCs w:val="22"/>
        </w:rPr>
      </w:r>
    </w:p>
    <w:p>
      <w:pPr>
        <w:pStyle w:val="Normal"/>
        <w:widowControl/>
        <w:spacing w:lineRule="exact" w:line="240"/>
        <w:ind w:firstLine="630" w:end="0"/>
        <w:jc w:val="both"/>
        <w:rPr/>
      </w:pPr>
      <w:r>
        <w:rPr>
          <w:color w:val="000000"/>
          <w:sz w:val="22"/>
          <w:szCs w:val="22"/>
        </w:rPr>
        <w:t xml:space="preserve"> </w:t>
      </w: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widowControl/>
        <w:spacing w:lineRule="exact" w:line="240"/>
        <w:ind w:firstLine="630" w:end="0"/>
        <w:jc w:val="both"/>
        <w:rPr>
          <w:color w:val="000000"/>
          <w:sz w:val="22"/>
          <w:szCs w:val="22"/>
        </w:rPr>
      </w:pPr>
      <w:r>
        <w:rPr>
          <w:color w:val="000000"/>
          <w:sz w:val="22"/>
          <w:szCs w:val="22"/>
        </w:rPr>
      </w:r>
    </w:p>
    <w:p>
      <w:pPr>
        <w:pStyle w:val="Normal"/>
        <w:widowControl/>
        <w:spacing w:lineRule="exact" w:line="240"/>
        <w:ind w:firstLine="720" w:start="720" w:end="0"/>
        <w:jc w:val="both"/>
        <w:rPr>
          <w:sz w:val="22"/>
          <w:szCs w:val="22"/>
        </w:rPr>
      </w:pPr>
      <w:r>
        <w:rPr>
          <w:color w:val="000000"/>
          <w:sz w:val="22"/>
          <w:szCs w:val="22"/>
        </w:rPr>
        <w:t>“</w:t>
      </w:r>
      <w:r>
        <w:rPr>
          <w:color w:val="000000"/>
          <w:sz w:val="22"/>
          <w:szCs w:val="22"/>
        </w:rPr>
        <w:t>(c)  Party A may transfer its rights and obligations under this Agreement, in whole but not in part, to any Affiliate of Party A’s Credit Support Provider, provided that such obligations continue to constitute “Obligations” under, and as defined in, the Enron Guaranty.”</w:t>
      </w:r>
    </w:p>
    <w:p>
      <w:pPr>
        <w:pStyle w:val="Normal"/>
        <w:widowContro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widowContro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spacing w:lineRule="exact" w:line="240"/>
        <w:ind w:firstLine="720" w:end="0"/>
        <w:jc w:val="both"/>
        <w:rPr>
          <w:sz w:val="22"/>
          <w:szCs w:val="22"/>
        </w:rPr>
      </w:pPr>
      <w:r>
        <w:rPr>
          <w:sz w:val="22"/>
          <w:szCs w:val="22"/>
        </w:rPr>
      </w:r>
    </w:p>
    <w:p>
      <w:pPr>
        <w:pStyle w:val="Normal"/>
        <w:keepNext w:val="true"/>
        <w:tabs>
          <w:tab w:val="clear" w:pos="720"/>
          <w:tab w:val="left" w:pos="-810" w:leader="none"/>
        </w:tabs>
        <w:jc w:val="both"/>
        <w:rPr/>
      </w:pPr>
      <w:r>
        <w:rPr>
          <w:sz w:val="22"/>
          <w:szCs w:val="22"/>
        </w:rPr>
        <w:tab/>
        <w:t>(m)</w:t>
        <w:tab/>
      </w:r>
      <w:r>
        <w:rPr>
          <w:b/>
          <w:bCs/>
          <w:sz w:val="22"/>
          <w:szCs w:val="22"/>
        </w:rPr>
        <w:t>Accounts.</w:t>
      </w:r>
      <w:r>
        <w:rPr>
          <w:sz w:val="22"/>
          <w:szCs w:val="22"/>
        </w:rPr>
        <w:t xml:space="preserve">  If a Confirmation does not state the account to which, or the currency in which, payments are to be made, they shall be made in the Contractual Currency pursuant to instructions provided by Party A or Party B as the payee party.</w:t>
      </w:r>
    </w:p>
    <w:p>
      <w:pPr>
        <w:pStyle w:val="Normal"/>
        <w:widowControl/>
        <w:spacing w:lineRule="exact" w:line="240" w:before="240" w:after="0"/>
        <w:ind w:firstLine="720" w:end="0"/>
        <w:jc w:val="both"/>
        <w:rPr/>
      </w:pPr>
      <w:r>
        <w:rPr>
          <w:sz w:val="22"/>
          <w:szCs w:val="22"/>
        </w:rPr>
        <w:t>(n)</w:t>
        <w:tab/>
      </w:r>
      <w:r>
        <w:rPr>
          <w:b/>
          <w:bCs/>
          <w:sz w:val="22"/>
          <w:szCs w:val="22"/>
        </w:rPr>
        <w:t>Certain Defined Terms</w:t>
      </w:r>
      <w:r>
        <w:rPr>
          <w:sz w:val="22"/>
          <w:szCs w:val="22"/>
        </w:rPr>
        <w:t xml:space="preserve">.  Reference is hereby made to that certain Amended and Restated Trust Agreement </w:t>
      </w:r>
      <w:r>
        <w:rPr>
          <w:strike/>
          <w:sz w:val="22"/>
          <w:szCs w:val="22"/>
        </w:rPr>
        <w:t>{dated June __, 2001,}</w:t>
      </w:r>
      <w:r>
        <w:rPr>
          <w:sz w:val="22"/>
          <w:szCs w:val="22"/>
        </w:rPr>
        <w:t xml:space="preserve"> by and between Wilmington Trust Company, as Trustee, and Maguey VPP, LLC, as Depositor, creating the Kstar VPP Trust and such shall be referred to herein or in any Transaction as the “Trust Agreement.”  Capitalized terms used herein or in any Transaction and not herein defined shall have the meanings set forth in Schedule 1 to the Trust Agreement. </w:t>
      </w:r>
    </w:p>
    <w:p>
      <w:pPr>
        <w:pStyle w:val="Normal"/>
        <w:widowControl/>
        <w:spacing w:before="480" w:after="0"/>
        <w:jc w:val="both"/>
        <w:rPr>
          <w:b/>
          <w:bCs/>
          <w:sz w:val="22"/>
          <w:szCs w:val="22"/>
        </w:rPr>
      </w:pPr>
      <w:r>
        <w:rPr>
          <w:b/>
          <w:bCs/>
          <w:sz w:val="22"/>
          <w:szCs w:val="22"/>
        </w:rPr>
        <w:t>Part 5.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widowContro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5 that are not otherwise defined shall have the meanings given to them in the Commodity Definitions.</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widowControl/>
        <w:ind w:firstLine="720" w:end="0"/>
        <w:jc w:val="both"/>
        <w:rPr>
          <w:sz w:val="22"/>
          <w:szCs w:val="22"/>
        </w:rPr>
      </w:pPr>
      <w:r>
        <w:rPr>
          <w:sz w:val="22"/>
          <w:szCs w:val="22"/>
        </w:rPr>
      </w:r>
    </w:p>
    <w:p>
      <w:pPr>
        <w:pStyle w:val="Normal"/>
        <w:widowContro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ind w:firstLine="720" w:start="720" w:end="0"/>
        <w:jc w:val="both"/>
        <w:rPr>
          <w:sz w:val="22"/>
          <w:szCs w:val="22"/>
        </w:rPr>
      </w:pPr>
      <w:r>
        <w:rPr>
          <w:sz w:val="22"/>
          <w:szCs w:val="22"/>
        </w:rPr>
      </w:r>
    </w:p>
    <w:p>
      <w:pPr>
        <w:pStyle w:val="Normal"/>
        <w:widowControl/>
        <w:ind w:firstLine="720" w:end="0"/>
        <w:jc w:val="both"/>
        <w:rPr>
          <w:sz w:val="22"/>
          <w:szCs w:val="22"/>
        </w:rPr>
      </w:pPr>
      <w:r>
        <w:rPr>
          <w:sz w:val="22"/>
          <w:szCs w:val="22"/>
        </w:rPr>
        <w:t>(d)</w:t>
        <w:tab/>
        <w:t>Section 7.5(e) of the Commodity Definitions is hereby deleted.</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(e)</w:t>
        <w:tab/>
        <w:t>“Additional Market Disruption Events” shall apply only if so specified in the relevant Confirmation.</w:t>
      </w:r>
    </w:p>
    <w:p>
      <w:pPr>
        <w:pStyle w:val="Normal"/>
        <w:widowContro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widowControl/>
        <w:jc w:val="both"/>
        <w:rPr>
          <w:rFonts w:ascii="Times New Roman" w:hAnsi="Times New Roman" w:cs="Times New Roman"/>
          <w:sz w:val="22"/>
          <w:szCs w:val="22"/>
        </w:rPr>
      </w:pPr>
      <w:r>
        <w:rPr>
          <w:rFonts w:cs="Times New Roman"/>
          <w:sz w:val="22"/>
          <w:szCs w:val="22"/>
        </w:rPr>
      </w:r>
    </w:p>
    <w:p>
      <w:pPr>
        <w:pStyle w:val="BlockText"/>
        <w:widowControl/>
        <w:ind w:hanging="720" w:start="1440" w:end="720"/>
        <w:rPr/>
      </w:pPr>
      <w:r>
        <w:rPr/>
        <w:t>(i)</w:t>
        <w:tab/>
        <w:t>“Postponement”, with three (3) Commodity Business Days as the Maximum Days of Disruption;</w:t>
      </w:r>
    </w:p>
    <w:p>
      <w:pPr>
        <w:pStyle w:val="Normal"/>
        <w:widowControl/>
        <w:ind w:hanging="720" w:start="1440" w:end="720"/>
        <w:jc w:val="both"/>
        <w:rPr>
          <w:sz w:val="22"/>
          <w:szCs w:val="22"/>
        </w:rPr>
      </w:pPr>
      <w:r>
        <w:rPr>
          <w:sz w:val="22"/>
          <w:szCs w:val="22"/>
        </w:rPr>
      </w:r>
    </w:p>
    <w:p>
      <w:pPr>
        <w:pStyle w:val="BlockText"/>
        <w:widowControl/>
        <w:ind w:hanging="720" w:start="1440" w:end="720"/>
        <w:rPr/>
      </w:pPr>
      <w:r>
        <w:rPr/>
        <w:t>(ii)</w:t>
        <w:tab/>
        <w:t>“Fallback Reference Price” (if the relevant parties have specified an alternate Commodity Reference Price in the Confirmation);</w:t>
      </w:r>
    </w:p>
    <w:p>
      <w:pPr>
        <w:pStyle w:val="Normal"/>
        <w:widowControl/>
        <w:ind w:hanging="720" w:start="1440" w:end="720"/>
        <w:jc w:val="both"/>
        <w:rPr>
          <w:sz w:val="22"/>
          <w:szCs w:val="22"/>
        </w:rPr>
      </w:pPr>
      <w:r>
        <w:rPr>
          <w:sz w:val="22"/>
          <w:szCs w:val="22"/>
        </w:rPr>
      </w:r>
    </w:p>
    <w:p>
      <w:pPr>
        <w:pStyle w:val="BlockText"/>
        <w:widowControl/>
        <w:ind w:hanging="720" w:start="1440" w:end="720"/>
        <w:rPr/>
      </w:pPr>
      <w:r>
        <w:rPr/>
        <w:t>(iii)</w:t>
        <w:tab/>
        <w:t>“Negotiated Fallback” (provided that the reference in Section 7.5(c)(iv) to “fifth Business Day” shall be amended to be “twelfth Business Day”); and</w:t>
      </w:r>
    </w:p>
    <w:p>
      <w:pPr>
        <w:pStyle w:val="Normal"/>
        <w:widowControl/>
        <w:ind w:hanging="720" w:start="1440" w:end="720"/>
        <w:jc w:val="both"/>
        <w:rPr>
          <w:sz w:val="22"/>
          <w:szCs w:val="22"/>
        </w:rPr>
      </w:pPr>
      <w:r>
        <w:rPr>
          <w:sz w:val="22"/>
          <w:szCs w:val="22"/>
        </w:rPr>
      </w:r>
    </w:p>
    <w:p>
      <w:pPr>
        <w:pStyle w:val="Normal"/>
        <w:widowContro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widowControl/>
        <w:ind w:hanging="720" w:start="1440" w:end="0"/>
        <w:jc w:val="both"/>
        <w:rPr>
          <w:sz w:val="22"/>
          <w:szCs w:val="22"/>
        </w:rPr>
      </w:pPr>
      <w:r>
        <w:rPr>
          <w:sz w:val="22"/>
          <w:szCs w:val="22"/>
        </w:rPr>
      </w:r>
      <w:r>
        <w:br w:type="page"/>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widowControl/>
        <w:jc w:val="both"/>
        <w:rPr>
          <w:rFonts w:ascii="Times New Roman" w:hAnsi="Times New Roman" w:cs="Times New Roman"/>
          <w:sz w:val="22"/>
          <w:szCs w:val="22"/>
        </w:rPr>
      </w:pPr>
      <w:r>
        <w:rPr>
          <w:rFonts w:cs="Times New Roman"/>
          <w:sz w:val="22"/>
          <w:szCs w:val="22"/>
        </w:rPr>
      </w:r>
    </w:p>
    <w:p>
      <w:pPr>
        <w:pStyle w:val="Normal"/>
        <w:widowControl/>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widowControl/>
              <w:spacing w:lineRule="exact" w:line="240"/>
              <w:jc w:val="both"/>
              <w:rPr>
                <w:sz w:val="22"/>
                <w:szCs w:val="22"/>
              </w:rPr>
            </w:pPr>
            <w:r>
              <w:rPr>
                <w:b/>
                <w:bCs/>
                <w:sz w:val="22"/>
                <w:szCs w:val="22"/>
              </w:rPr>
              <w:t>ENRON NORTH AMERICA CORP.</w:t>
            </w:r>
          </w:p>
          <w:p>
            <w:pPr>
              <w:pStyle w:val="Normal"/>
              <w:keepNext w:val="true"/>
              <w:widowControl/>
              <w:spacing w:lineRule="exact" w:line="240"/>
              <w:jc w:val="both"/>
              <w:rPr>
                <w:b/>
                <w:bCs/>
                <w:sz w:val="22"/>
                <w:szCs w:val="22"/>
              </w:rPr>
            </w:pPr>
            <w:r>
              <w:rPr>
                <w:b/>
                <w:bCs/>
                <w:sz w:val="22"/>
                <w:szCs w:val="22"/>
              </w:rPr>
            </w:r>
          </w:p>
          <w:p>
            <w:pPr>
              <w:pStyle w:val="Normal"/>
              <w:keepNext w:val="true"/>
              <w:widowControl/>
              <w:spacing w:lineRule="exact" w:line="240"/>
              <w:jc w:val="both"/>
              <w:rPr>
                <w:b/>
                <w:bCs/>
                <w:sz w:val="22"/>
                <w:szCs w:val="22"/>
              </w:rPr>
            </w:pPr>
            <w:r>
              <w:rPr>
                <w:b/>
                <w:bCs/>
                <w:sz w:val="22"/>
                <w:szCs w:val="22"/>
              </w:rPr>
            </w:r>
          </w:p>
          <w:p>
            <w:pPr>
              <w:pStyle w:val="Normal"/>
              <w:keepNext w:val="true"/>
              <w:widowControl/>
              <w:spacing w:lineRule="exact" w:line="240"/>
              <w:jc w:val="both"/>
              <w:rPr/>
            </w:pPr>
            <w:r>
              <w:rPr>
                <w:sz w:val="22"/>
                <w:szCs w:val="22"/>
              </w:rPr>
              <w:t>By:</w:t>
              <w:tab/>
            </w:r>
            <w:r>
              <w:rPr>
                <w:sz w:val="22"/>
                <w:szCs w:val="22"/>
                <w:u w:val="single"/>
              </w:rPr>
              <w:tab/>
              <w:tab/>
              <w:tab/>
              <w:tab/>
              <w:tab/>
            </w:r>
          </w:p>
          <w:p>
            <w:pPr>
              <w:pStyle w:val="Normal"/>
              <w:keepNext w:val="true"/>
              <w:widowControl/>
              <w:spacing w:lineRule="exact" w:line="240"/>
              <w:jc w:val="both"/>
              <w:rPr>
                <w:sz w:val="22"/>
                <w:szCs w:val="22"/>
              </w:rPr>
            </w:pPr>
            <w:r>
              <w:rPr>
                <w:sz w:val="22"/>
                <w:szCs w:val="22"/>
              </w:rPr>
              <w:t>Name:</w:t>
              <w:tab/>
            </w:r>
            <w:r>
              <w:rPr>
                <w:sz w:val="22"/>
                <w:szCs w:val="22"/>
                <w:u w:val="single"/>
              </w:rPr>
              <w:tab/>
              <w:tab/>
              <w:tab/>
              <w:tab/>
              <w:tab/>
            </w:r>
          </w:p>
          <w:p>
            <w:pPr>
              <w:pStyle w:val="Normal"/>
              <w:keepNext w:val="true"/>
              <w:widowControl/>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widowControl/>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widowControl/>
              <w:spacing w:lineRule="exact" w:line="240"/>
              <w:jc w:val="both"/>
              <w:rPr>
                <w:sz w:val="22"/>
                <w:szCs w:val="22"/>
              </w:rPr>
            </w:pPr>
            <w:r>
              <w:rPr>
                <w:b/>
                <w:bCs/>
                <w:sz w:val="22"/>
                <w:szCs w:val="22"/>
              </w:rPr>
              <w:t xml:space="preserve">KSTAR VPP </w:t>
            </w:r>
            <w:r>
              <w:rPr>
                <w:b/>
                <w:bCs/>
                <w:strike/>
                <w:sz w:val="22"/>
                <w:szCs w:val="22"/>
              </w:rPr>
              <w:t>{LIMITED PARTNERSHIP}</w:t>
            </w:r>
            <w:r>
              <w:rPr>
                <w:b/>
                <w:bCs/>
                <w:sz w:val="22"/>
                <w:szCs w:val="22"/>
              </w:rPr>
              <w:t xml:space="preserve"> [LP]</w:t>
            </w:r>
          </w:p>
          <w:p>
            <w:pPr>
              <w:pStyle w:val="Normal"/>
              <w:keepNext w:val="true"/>
              <w:widowControl/>
              <w:spacing w:lineRule="exact" w:line="240"/>
              <w:jc w:val="both"/>
              <w:rPr>
                <w:sz w:val="22"/>
                <w:szCs w:val="22"/>
              </w:rPr>
            </w:pPr>
            <w:r>
              <w:rPr>
                <w:sz w:val="22"/>
                <w:szCs w:val="22"/>
              </w:rPr>
            </w:r>
          </w:p>
          <w:p>
            <w:pPr>
              <w:pStyle w:val="Normal"/>
              <w:keepNext w:val="true"/>
              <w:widowControl/>
              <w:spacing w:lineRule="exact" w:line="240"/>
              <w:jc w:val="both"/>
              <w:rPr>
                <w:sz w:val="22"/>
                <w:szCs w:val="22"/>
              </w:rPr>
            </w:pPr>
            <w:r>
              <w:rPr>
                <w:sz w:val="22"/>
                <w:szCs w:val="22"/>
              </w:rPr>
              <w:t>By:  Maguey VPP, LLC, Its General Partner</w:t>
            </w:r>
          </w:p>
          <w:p>
            <w:pPr>
              <w:pStyle w:val="Normal"/>
              <w:keepNext w:val="true"/>
              <w:widowControl/>
              <w:spacing w:lineRule="exact" w:line="240"/>
              <w:jc w:val="both"/>
              <w:rPr>
                <w:sz w:val="22"/>
                <w:szCs w:val="22"/>
              </w:rPr>
            </w:pPr>
            <w:r>
              <w:rPr>
                <w:sz w:val="22"/>
                <w:szCs w:val="22"/>
              </w:rPr>
            </w:r>
          </w:p>
          <w:p>
            <w:pPr>
              <w:pStyle w:val="Normal"/>
              <w:keepNext w:val="true"/>
              <w:widowControl/>
              <w:spacing w:lineRule="exact" w:line="240"/>
              <w:jc w:val="both"/>
              <w:rPr>
                <w:sz w:val="22"/>
                <w:szCs w:val="22"/>
              </w:rPr>
            </w:pPr>
            <w:r>
              <w:rPr>
                <w:sz w:val="22"/>
                <w:szCs w:val="22"/>
              </w:rPr>
            </w:r>
          </w:p>
          <w:p>
            <w:pPr>
              <w:pStyle w:val="Normal"/>
              <w:keepNext w:val="true"/>
              <w:widowControl/>
              <w:spacing w:lineRule="exact" w:line="240"/>
              <w:jc w:val="both"/>
              <w:rPr/>
            </w:pPr>
            <w:r>
              <w:rPr>
                <w:sz w:val="22"/>
                <w:szCs w:val="22"/>
              </w:rPr>
              <w:t>By:</w:t>
              <w:tab/>
            </w:r>
            <w:r>
              <w:rPr>
                <w:sz w:val="22"/>
                <w:szCs w:val="22"/>
                <w:u w:val="single"/>
              </w:rPr>
              <w:tab/>
              <w:tab/>
              <w:tab/>
              <w:tab/>
              <w:tab/>
            </w:r>
          </w:p>
          <w:p>
            <w:pPr>
              <w:pStyle w:val="Normal"/>
              <w:keepNext w:val="true"/>
              <w:widowControl/>
              <w:spacing w:lineRule="exact" w:line="240"/>
              <w:jc w:val="both"/>
              <w:rPr>
                <w:sz w:val="22"/>
                <w:szCs w:val="22"/>
              </w:rPr>
            </w:pPr>
            <w:r>
              <w:rPr>
                <w:sz w:val="22"/>
                <w:szCs w:val="22"/>
              </w:rPr>
              <w:t>Name:</w:t>
              <w:tab/>
            </w:r>
            <w:r>
              <w:rPr>
                <w:sz w:val="22"/>
                <w:szCs w:val="22"/>
                <w:u w:val="single"/>
              </w:rPr>
              <w:tab/>
              <w:tab/>
              <w:tab/>
              <w:tab/>
              <w:tab/>
            </w:r>
          </w:p>
          <w:p>
            <w:pPr>
              <w:pStyle w:val="Normal"/>
              <w:keepNext w:val="true"/>
              <w:widowControl/>
              <w:spacing w:lineRule="exact" w:line="240"/>
              <w:jc w:val="both"/>
              <w:rPr/>
            </w:pPr>
            <w:r>
              <w:rPr>
                <w:sz w:val="22"/>
                <w:szCs w:val="22"/>
              </w:rPr>
              <w:t>Title:</w:t>
              <w:tab/>
            </w:r>
            <w:r>
              <w:rPr>
                <w:sz w:val="22"/>
                <w:szCs w:val="22"/>
                <w:u w:val="single"/>
              </w:rPr>
              <w:tab/>
              <w:tab/>
              <w:tab/>
              <w:tab/>
              <w:tab/>
            </w:r>
          </w:p>
          <w:p>
            <w:pPr>
              <w:pStyle w:val="Normal"/>
              <w:keepNext w:val="true"/>
              <w:widowControl/>
              <w:spacing w:lineRule="exact" w:line="240"/>
              <w:jc w:val="both"/>
              <w:rPr>
                <w:sz w:val="22"/>
                <w:szCs w:val="22"/>
              </w:rPr>
            </w:pPr>
            <w:r>
              <w:rPr>
                <w:sz w:val="22"/>
                <w:szCs w:val="22"/>
              </w:rPr>
              <w:t xml:space="preserve">Date:     </w:t>
            </w:r>
            <w:r>
              <w:rPr>
                <w:sz w:val="22"/>
                <w:szCs w:val="22"/>
                <w:u w:val="single"/>
              </w:rPr>
              <w:tab/>
              <w:tab/>
              <w:tab/>
              <w:tab/>
              <w:tab/>
            </w:r>
          </w:p>
        </w:tc>
      </w:tr>
    </w:tbl>
    <w:p>
      <w:pPr>
        <w:pStyle w:val="Normal"/>
        <w:widowControl/>
        <w:tabs>
          <w:tab w:val="clear" w:pos="720"/>
          <w:tab w:val="left" w:pos="2880" w:leader="none"/>
        </w:tabs>
        <w:spacing w:lineRule="exact" w:line="240"/>
        <w:ind w:hanging="2880" w:start="2880" w:end="0"/>
        <w:jc w:val="both"/>
        <w:rPr>
          <w:sz w:val="22"/>
          <w:szCs w:val="22"/>
        </w:rPr>
      </w:pPr>
      <w:r>
        <w:rPr>
          <w:sz w:val="22"/>
          <w:szCs w:val="22"/>
        </w:rPr>
      </w:r>
    </w:p>
    <w:p>
      <w:pPr>
        <w:pStyle w:val="Normal"/>
        <w:widowControl/>
        <w:tabs>
          <w:tab w:val="clear" w:pos="720"/>
          <w:tab w:val="left" w:pos="2880" w:leader="none"/>
        </w:tabs>
        <w:spacing w:lineRule="exact" w:line="240"/>
        <w:ind w:hanging="2880" w:start="2880" w:end="0"/>
        <w:jc w:val="both"/>
        <w:rPr>
          <w:sz w:val="22"/>
          <w:szCs w:val="22"/>
        </w:rPr>
      </w:pPr>
      <w:r>
        <w:rPr>
          <w:sz w:val="22"/>
          <w:szCs w:val="22"/>
        </w:rPr>
      </w:r>
    </w:p>
    <w:p>
      <w:pPr>
        <w:pStyle w:val="Normal"/>
        <w:widowControl/>
        <w:tabs>
          <w:tab w:val="clear" w:pos="720"/>
          <w:tab w:val="left" w:pos="2700" w:leader="none"/>
        </w:tabs>
        <w:spacing w:lineRule="exact" w:line="240"/>
        <w:ind w:hanging="3060" w:start="3060" w:end="0"/>
        <w:jc w:val="both"/>
        <w:rPr>
          <w:sz w:val="22"/>
          <w:szCs w:val="22"/>
        </w:rPr>
      </w:pPr>
      <w:r>
        <w:rPr>
          <w:sz w:val="22"/>
          <w:szCs w:val="22"/>
        </w:rPr>
      </w:r>
    </w:p>
    <w:p>
      <w:pPr>
        <w:pStyle w:val="Normal"/>
        <w:widowControl/>
        <w:tabs>
          <w:tab w:val="clear" w:pos="720"/>
          <w:tab w:val="left" w:pos="2700" w:leader="none"/>
        </w:tabs>
        <w:spacing w:lineRule="exact" w:line="240"/>
        <w:ind w:hanging="3060" w:start="3060" w:end="0"/>
        <w:jc w:val="both"/>
        <w:rPr>
          <w:sz w:val="22"/>
          <w:szCs w:val="22"/>
        </w:rPr>
      </w:pPr>
      <w:r>
        <w:rPr>
          <w:sz w:val="22"/>
          <w:szCs w:val="22"/>
        </w:rPr>
      </w:r>
    </w:p>
    <w:p>
      <w:pPr>
        <w:pStyle w:val="Normal"/>
        <w:widowControl/>
        <w:spacing w:lineRule="atLeast" w:line="240"/>
        <w:ind w:start="5040" w:end="0"/>
        <w:jc w:val="both"/>
        <w:rPr>
          <w:sz w:val="22"/>
          <w:szCs w:val="22"/>
        </w:rPr>
      </w:pPr>
      <w:r>
        <w:rPr>
          <w:sz w:val="22"/>
          <w:szCs w:val="22"/>
        </w:rPr>
      </w:r>
      <w:r>
        <w:br w:type="page"/>
      </w:r>
    </w:p>
    <w:p>
      <w:pPr>
        <w:pStyle w:val="Normal"/>
        <w:widowControl/>
        <w:spacing w:lineRule="atLeast" w:line="240"/>
        <w:rPr>
          <w:szCs w:val="24"/>
        </w:rPr>
      </w:pPr>
      <w:r>
        <w:rPr>
          <w:szCs w:val="24"/>
        </w:rPr>
      </w:r>
    </w:p>
    <w:p>
      <w:pPr>
        <w:pStyle w:val="Normal"/>
        <w:widowControl/>
        <w:spacing w:lineRule="atLeast" w:line="240"/>
        <w:rPr>
          <w:szCs w:val="24"/>
        </w:rPr>
      </w:pPr>
      <w:r>
        <w:rPr>
          <w:szCs w:val="24"/>
        </w:rPr>
        <w:t>---------------------- REVISION LIST ----------------------</w:t>
      </w:r>
    </w:p>
    <w:p>
      <w:pPr>
        <w:pStyle w:val="Normal"/>
        <w:widowControl/>
        <w:spacing w:lineRule="atLeast" w:line="240"/>
        <w:rPr>
          <w:szCs w:val="24"/>
        </w:rPr>
      </w:pPr>
      <w:r>
        <w:rPr>
          <w:szCs w:val="24"/>
        </w:rPr>
      </w:r>
    </w:p>
    <w:p>
      <w:pPr>
        <w:pStyle w:val="Normal"/>
        <w:widowControl/>
        <w:spacing w:lineRule="atLeast" w:line="240"/>
        <w:rPr>
          <w:szCs w:val="24"/>
        </w:rPr>
      </w:pPr>
      <w:r>
        <w:rPr>
          <w:szCs w:val="24"/>
        </w:rPr>
        <w:t>The bracketed numbers refer to the Page and Paragraph for the start of the paragraph in both the old and the new documents.</w:t>
      </w:r>
    </w:p>
    <w:p>
      <w:pPr>
        <w:pStyle w:val="Normal"/>
        <w:widowControl/>
        <w:spacing w:lineRule="atLeast" w:line="240"/>
        <w:rPr>
          <w:szCs w:val="24"/>
        </w:rPr>
      </w:pPr>
      <w:r>
        <w:rPr>
          <w:szCs w:val="24"/>
        </w:rPr>
      </w:r>
    </w:p>
    <w:p>
      <w:pPr>
        <w:pStyle w:val="Normal"/>
        <w:widowControl/>
        <w:spacing w:lineRule="atLeast" w:line="240"/>
        <w:rPr>
          <w:szCs w:val="24"/>
        </w:rPr>
      </w:pPr>
      <w:r>
        <w:rPr>
          <w:szCs w:val="24"/>
        </w:rPr>
        <w:t>[1:2 1:2] Changed</w:t>
        <w:tab/>
        <w:t>"dated as" to "dated effective as"</w:t>
      </w:r>
    </w:p>
    <w:p>
      <w:pPr>
        <w:pStyle w:val="Normal"/>
        <w:widowControl/>
        <w:spacing w:lineRule="atLeast" w:line="240"/>
        <w:rPr>
          <w:szCs w:val="24"/>
        </w:rPr>
      </w:pPr>
      <w:r>
        <w:rPr>
          <w:szCs w:val="24"/>
        </w:rPr>
        <w:t>[1:2 1:2] Changed</w:t>
        <w:tab/>
        <w:t>"__" to "1"</w:t>
      </w:r>
    </w:p>
    <w:p>
      <w:pPr>
        <w:pStyle w:val="Normal"/>
        <w:widowControl/>
        <w:spacing w:lineRule="atLeast" w:line="240"/>
        <w:rPr>
          <w:szCs w:val="24"/>
        </w:rPr>
      </w:pPr>
      <w:r>
        <w:rPr>
          <w:szCs w:val="24"/>
        </w:rPr>
        <w:t>[1:4 1:4] Changed</w:t>
        <w:tab/>
        <w:t>"LIMITED PARTNERSHIP" to "LP"</w:t>
      </w:r>
    </w:p>
    <w:p>
      <w:pPr>
        <w:pStyle w:val="Normal"/>
        <w:widowControl/>
        <w:spacing w:lineRule="atLeast" w:line="240"/>
        <w:rPr>
          <w:szCs w:val="24"/>
        </w:rPr>
      </w:pPr>
      <w:r>
        <w:rPr>
          <w:szCs w:val="24"/>
        </w:rPr>
        <w:t>[1:75 1:75] Changed</w:t>
        <w:tab/>
        <w:t>"Agreement  ...  __, 2001, by" to "Agreement by"</w:t>
      </w:r>
    </w:p>
    <w:p>
      <w:pPr>
        <w:pStyle w:val="Normal"/>
        <w:widowControl/>
        <w:spacing w:lineRule="atLeast" w:line="240"/>
        <w:rPr>
          <w:szCs w:val="24"/>
        </w:rPr>
      </w:pPr>
      <w:r>
        <w:rPr>
          <w:szCs w:val="24"/>
        </w:rPr>
        <w:t>[2:6 2:6] Changed</w:t>
        <w:tab/>
        <w:t>"LIMITED PARTNERSHIP" to "LP"</w:t>
      </w:r>
    </w:p>
    <w:p>
      <w:pPr>
        <w:pStyle w:val="Normal"/>
        <w:widowControl/>
        <w:spacing w:lineRule="atLeast" w:line="240"/>
        <w:rPr>
          <w:szCs w:val="24"/>
        </w:rPr>
      </w:pPr>
      <w:r>
        <w:rPr>
          <w:szCs w:val="24"/>
        </w:rPr>
      </w:r>
    </w:p>
    <w:sectPr>
      <w:headerReference w:type="default" r:id="rId2"/>
      <w:footerReference w:type="default" r:id="rId3"/>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 xml:space="preserve">Page </w:t>
    </w:r>
    <w:r>
      <w:rPr/>
      <w:fldChar w:fldCharType="begin"/>
    </w:r>
    <w:r>
      <w:rPr/>
      <w:instrText xml:space="preserve"> PAGE </w:instrText>
    </w:r>
    <w:r>
      <w:rPr/>
      <w:fldChar w:fldCharType="separate"/>
    </w:r>
    <w:r>
      <w:rPr/>
      <w:t>10</w:t>
    </w:r>
    <w:r>
      <w:rPr/>
      <w:fldChar w:fldCharType="end"/>
    </w:r>
  </w:p>
  <w:p>
    <w:pPr>
      <w:pStyle w:val="Footer"/>
      <w:widowControl/>
      <w:jc w:val="center"/>
      <w:rPr/>
    </w:pPr>
    <w:r>
      <w:rPr/>
    </w:r>
  </w:p>
  <w:p>
    <w:pPr>
      <w:pStyle w:val="Footer"/>
      <w:widowControl/>
      <w:rPr>
        <w:sz w:val="18"/>
        <w:szCs w:val="18"/>
      </w:rPr>
    </w:pPr>
    <w:r>
      <w:rPr>
        <w:sz w:val="18"/>
        <w:szCs w:val="18"/>
      </w:rPr>
      <w:fldChar w:fldCharType="begin"/>
    </w:r>
    <w:r>
      <w:rPr>
        <w:sz w:val="18"/>
        <w:szCs w:val="18"/>
      </w:rPr>
      <w:instrText xml:space="preserve"> FILENAME \p </w:instrText>
    </w:r>
    <w:r>
      <w:rPr>
        <w:sz w:val="18"/>
        <w:szCs w:val="18"/>
      </w:rPr>
      <w:fldChar w:fldCharType="separate"/>
    </w:r>
    <w:r>
      <w:rPr>
        <w:sz w:val="18"/>
        <w:szCs w:val="18"/>
      </w:rPr>
      <w:t>/mnt/main-storage/datasets/enron-docs/doc/KSTAR_ISDA_A_RED.doc</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szCs w:val="20"/>
      <w:u w:val="single"/>
    </w:rPr>
  </w:style>
  <w:style w:type="character" w:styleId="FollowedHyperlink">
    <w:name w:val="FollowedHyperlink"/>
    <w:basedOn w:val="DefaultParagraphFont"/>
    <w:rPr>
      <w:color w:val="7F007F"/>
      <w:szCs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spacing w:lineRule="exact" w:line="240"/>
      <w:ind w:firstLine="720" w:start="720" w:end="0"/>
      <w:jc w:val="both"/>
    </w:pPr>
    <w:rPr>
      <w:sz w:val="22"/>
      <w:szCs w:val="22"/>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
    <w:name w:val="Body Text Indent"/>
    <w:basedOn w:val="Normal"/>
    <w:pPr>
      <w:jc w:val="both"/>
    </w:pPr>
    <w:rPr/>
  </w:style>
  <w:style w:type="paragraph" w:styleId="BodyTextIndent2">
    <w:name w:val="Body Text Indent 2"/>
    <w:basedOn w:val="Normal"/>
    <w:qFormat/>
    <w:pPr>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FootnoteText">
    <w:name w:val="footnote text"/>
    <w:basedOn w:val="Normal"/>
    <w:pPr/>
    <w:rPr>
      <w:sz w:val="22"/>
      <w:szCs w:val="22"/>
    </w:rPr>
  </w:style>
  <w:style w:type="paragraph" w:styleId="BlockText">
    <w:name w:val="Block Text"/>
    <w:basedOn w:val="Normal"/>
    <w:qFormat/>
    <w:pPr>
      <w:ind w:firstLine="720" w:start="720" w:end="720"/>
      <w:jc w:val="both"/>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2001-06-22T13:21:00Z</dcterms:created>
  <dc:creator>mheard</dc:creator>
  <dc:description/>
  <dc:language>en-CA</dc:language>
  <cp:lastModifiedBy>mcook</cp:lastModifiedBy>
  <cp:lastPrinted>2001-06-21T17:49:00Z</cp:lastPrinted>
  <dcterms:modified xsi:type="dcterms:W3CDTF">2001-06-22T13:21:00Z</dcterms:modified>
  <cp:revision>2</cp:revision>
  <dc:subject/>
  <dc:title>ISDA Multicurrency Agreement</dc:title>
</cp:coreProperties>
</file>