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O:\LEGAL\MCOOK\WORK-GENERAL\KSTAR GAS SMALL ASS KCS 1.DOC</w:t>
      </w:r>
    </w:p>
    <w:p>
      <w:pPr>
        <w:pStyle w:val="Normal"/>
        <w:rPr/>
      </w:pPr>
      <w:r>
        <w:rPr/>
        <w:t>and revised document: O:\LEGAL\MCOOK\WORK-GENERAL\KSTAR GAS SMALL ASS KCS 1 A.DOC</w:t>
      </w:r>
    </w:p>
    <w:p>
      <w:pPr>
        <w:pStyle w:val="Normal"/>
        <w:rPr/>
      </w:pPr>
      <w:r>
        <w:rPr/>
      </w:r>
    </w:p>
    <w:p>
      <w:pPr>
        <w:pStyle w:val="Normal"/>
        <w:rPr/>
      </w:pPr>
      <w:r>
        <w:rPr/>
        <w:t>CompareRite found    6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sz w:val="22"/>
          <w:szCs w:val="22"/>
        </w:rPr>
      </w:pPr>
      <w:r>
        <w:rPr>
          <w:sz w:val="22"/>
          <w:szCs w:val="22"/>
        </w:rPr>
      </w:r>
    </w:p>
    <w:p>
      <w:pPr>
        <w:pStyle w:val="Heading"/>
        <w:widowControl/>
        <w:rPr>
          <w:sz w:val="22"/>
          <w:szCs w:val="22"/>
        </w:rPr>
      </w:pPr>
      <w:r>
        <w:rPr>
          <w:sz w:val="22"/>
          <w:szCs w:val="22"/>
        </w:rPr>
        <w:t>ASSIGNMENT, ASSUMPTION, AND AMENDMENT AGREEMENT</w:t>
      </w:r>
    </w:p>
    <w:p>
      <w:pPr>
        <w:pStyle w:val="Heading"/>
        <w:widowControl/>
        <w:rPr>
          <w:sz w:val="22"/>
          <w:szCs w:val="22"/>
        </w:rPr>
      </w:pPr>
      <w:r>
        <w:rPr>
          <w:sz w:val="22"/>
          <w:szCs w:val="22"/>
        </w:rPr>
        <w:t>(NATURAL GAS)</w:t>
      </w:r>
    </w:p>
    <w:p>
      <w:pPr>
        <w:pStyle w:val="Normal"/>
        <w:widowControl/>
        <w:rPr>
          <w:sz w:val="22"/>
          <w:szCs w:val="22"/>
        </w:rPr>
      </w:pPr>
      <w:r>
        <w:rPr>
          <w:sz w:val="22"/>
          <w:szCs w:val="22"/>
        </w:rPr>
      </w:r>
    </w:p>
    <w:p>
      <w:pPr>
        <w:pStyle w:val="Normal"/>
        <w:widowControl/>
        <w:jc w:val="both"/>
        <w:rPr/>
      </w:pPr>
      <w:r>
        <w:rPr>
          <w:sz w:val="22"/>
          <w:szCs w:val="22"/>
        </w:rPr>
        <w:tab/>
        <w:t xml:space="preserve">This Assignment, Assumption, and Amendment Agreement (this “Assignment Agreement”), dated effective as of June </w:t>
      </w:r>
      <w:r>
        <w:rPr>
          <w:strike/>
          <w:sz w:val="22"/>
          <w:szCs w:val="22"/>
        </w:rPr>
        <w:t>{__}</w:t>
      </w:r>
      <w:r>
        <w:rPr>
          <w:b/>
          <w:bCs/>
          <w:sz w:val="22"/>
          <w:szCs w:val="22"/>
        </w:rPr>
        <w:t>[1]</w:t>
      </w:r>
      <w:r>
        <w:rPr>
          <w:sz w:val="22"/>
          <w:szCs w:val="22"/>
        </w:rPr>
        <w:t xml:space="preserve">, 2001 (the “Assignment Effective Date”), is by and among STAR VPP, LP, a Delaware limited partnership (“STAR Assignor”), RISK MANAGEMENT &amp; TRADING CORP., a Delaware corporation (“RMT Assignor”), KSTAR VPP </w:t>
      </w:r>
      <w:r>
        <w:rPr>
          <w:strike/>
          <w:sz w:val="22"/>
          <w:szCs w:val="22"/>
        </w:rPr>
        <w:t>{LIMITED PARTNERSHIP}</w:t>
      </w:r>
      <w:r>
        <w:rPr>
          <w:sz w:val="22"/>
          <w:szCs w:val="22"/>
        </w:rPr>
        <w:t xml:space="preserve"> </w:t>
      </w:r>
      <w:r>
        <w:rPr>
          <w:b/>
          <w:bCs/>
          <w:sz w:val="22"/>
          <w:szCs w:val="22"/>
        </w:rPr>
        <w:t>[LP]</w:t>
      </w:r>
      <w:r>
        <w:rPr>
          <w:sz w:val="22"/>
          <w:szCs w:val="22"/>
        </w:rPr>
        <w:t>, a Delaware limited partnership (“KSTAR Assignee”), and ENRON NORTH AMERICA CORP., a Delaware corporation (“ENA Assignee”).</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W I T N E S S E T H</w:t>
      </w:r>
    </w:p>
    <w:p>
      <w:pPr>
        <w:pStyle w:val="Normal"/>
        <w:widowControl/>
        <w:jc w:val="both"/>
        <w:rPr>
          <w:b/>
          <w:bCs/>
          <w:sz w:val="22"/>
          <w:szCs w:val="22"/>
        </w:rPr>
      </w:pPr>
      <w:r>
        <w:rPr>
          <w:b/>
          <w:bCs/>
          <w:sz w:val="22"/>
          <w:szCs w:val="22"/>
        </w:rPr>
      </w:r>
    </w:p>
    <w:p>
      <w:pPr>
        <w:pStyle w:val="Normal"/>
        <w:widowControl/>
        <w:jc w:val="both"/>
        <w:rPr/>
      </w:pPr>
      <w:r>
        <w:rPr>
          <w:b/>
          <w:bCs/>
          <w:sz w:val="22"/>
          <w:szCs w:val="22"/>
        </w:rPr>
        <w:tab/>
      </w:r>
      <w:r>
        <w:rPr>
          <w:sz w:val="22"/>
          <w:szCs w:val="22"/>
        </w:rPr>
        <w:t>WHEREAS,</w:t>
      </w:r>
      <w:r>
        <w:rPr>
          <w:b/>
          <w:bCs/>
          <w:sz w:val="22"/>
          <w:szCs w:val="22"/>
        </w:rPr>
        <w:t xml:space="preserve"> </w:t>
      </w:r>
      <w:r>
        <w:rPr>
          <w:sz w:val="22"/>
          <w:szCs w:val="22"/>
        </w:rPr>
        <w:t xml:space="preserve">STAR Assignor and RMT Assignor have entered into that certain natural gas swap transaction dated February 16, 2001 referenced by confirmation deal number QS5114.1 (the “NYMEX Transaction”), subject to the ISDA Master Agreement therein identified (the “STAR RMT Master Agreement”).  A copy of the NYMEX Transaction is hereto attached for all purposes as </w:t>
      </w:r>
      <w:r>
        <w:rPr>
          <w:sz w:val="22"/>
          <w:szCs w:val="22"/>
          <w:u w:val="single"/>
        </w:rPr>
        <w:t>Schedule 1-A</w:t>
      </w:r>
      <w:r>
        <w:rPr>
          <w:sz w:val="22"/>
          <w:szCs w:val="22"/>
        </w:rPr>
        <w:t>.</w:t>
      </w:r>
    </w:p>
    <w:p>
      <w:pPr>
        <w:pStyle w:val="Normal"/>
        <w:widowControl/>
        <w:jc w:val="both"/>
        <w:rPr>
          <w:sz w:val="22"/>
          <w:szCs w:val="22"/>
        </w:rPr>
      </w:pPr>
      <w:r>
        <w:rPr>
          <w:sz w:val="22"/>
          <w:szCs w:val="22"/>
        </w:rPr>
      </w:r>
    </w:p>
    <w:p>
      <w:pPr>
        <w:pStyle w:val="Normal"/>
        <w:widowControl/>
        <w:ind w:firstLine="720" w:end="0"/>
        <w:jc w:val="both"/>
        <w:rPr/>
      </w:pPr>
      <w:r>
        <w:rPr>
          <w:sz w:val="22"/>
          <w:szCs w:val="22"/>
        </w:rPr>
        <w:t>WHEREAS,</w:t>
      </w:r>
      <w:r>
        <w:rPr>
          <w:b/>
          <w:bCs/>
          <w:sz w:val="22"/>
          <w:szCs w:val="22"/>
        </w:rPr>
        <w:t xml:space="preserve"> </w:t>
      </w:r>
      <w:r>
        <w:rPr>
          <w:sz w:val="22"/>
          <w:szCs w:val="22"/>
        </w:rPr>
        <w:t xml:space="preserve">STAR Assignor and RMT Assignor have entered into those four certain natural gas basis swap transactions </w:t>
      </w:r>
      <w:r>
        <w:rPr>
          <w:strike/>
          <w:sz w:val="22"/>
          <w:szCs w:val="22"/>
        </w:rPr>
        <w:t>{dated February 20, 2001}</w:t>
      </w:r>
      <w:r>
        <w:rPr>
          <w:sz w:val="22"/>
          <w:szCs w:val="22"/>
        </w:rPr>
        <w:t xml:space="preserve"> referenced by confirmation deal numbers QS5460.1, QS5772.2, QT2767.1, and QT2928.1 (the “Basis Transactions”), subject to the STAR RMT Master Agreement.  Copies of the Basis Transactions are hereto attached for all purposes as </w:t>
      </w:r>
      <w:r>
        <w:rPr>
          <w:sz w:val="22"/>
          <w:szCs w:val="22"/>
          <w:u w:val="single"/>
        </w:rPr>
        <w:t>Schedule 1-B</w:t>
      </w:r>
      <w:r>
        <w:rPr>
          <w:sz w:val="22"/>
          <w:szCs w:val="22"/>
        </w:rPr>
        <w:t>.</w:t>
      </w:r>
    </w:p>
    <w:p>
      <w:pPr>
        <w:pStyle w:val="Normal"/>
        <w:widowControl/>
        <w:jc w:val="both"/>
        <w:rPr>
          <w:sz w:val="22"/>
          <w:szCs w:val="22"/>
        </w:rPr>
      </w:pPr>
      <w:r>
        <w:rPr>
          <w:sz w:val="22"/>
          <w:szCs w:val="22"/>
        </w:rPr>
      </w:r>
    </w:p>
    <w:p>
      <w:pPr>
        <w:pStyle w:val="Normal"/>
        <w:widowControl/>
        <w:ind w:firstLine="720" w:end="0"/>
        <w:jc w:val="both"/>
        <w:rPr/>
      </w:pPr>
      <w:r>
        <w:rPr>
          <w:sz w:val="22"/>
          <w:szCs w:val="22"/>
        </w:rPr>
        <w:t xml:space="preserve">WHEREAS, STAR Assignor and RMT Assignor desire to amend the NYMEX Transaction insofar as it is hereby assigned to substitute the Notional Quantity Per Calculation Period set forth in </w:t>
      </w:r>
      <w:r>
        <w:rPr>
          <w:sz w:val="22"/>
          <w:szCs w:val="22"/>
          <w:u w:val="single"/>
        </w:rPr>
        <w:t>Schedule 2</w:t>
      </w:r>
      <w:r>
        <w:rPr>
          <w:sz w:val="22"/>
          <w:szCs w:val="22"/>
        </w:rPr>
        <w:t xml:space="preserve"> (the “NYMEX Amended Quantities”) hereto attached for all purposes for the Quantity Per Month Per Calculation Period set forth in the Attachment to the NYMEX Transaction (the “Original Quantities”); provided, the amendment of the NYMEX Transaction shall apply only to the NYMEX Amended Quantities and the Original Quantities in excess of the NYMEX Amended Quantities (the “Remaining Quantities”) shall continue in effect under the original terms of the NYMEX Transaction between STAR Assignor and RMT Assignor.</w:t>
      </w:r>
    </w:p>
    <w:p>
      <w:pPr>
        <w:pStyle w:val="Normal"/>
        <w:widowControl/>
        <w:jc w:val="both"/>
        <w:rPr>
          <w:sz w:val="22"/>
          <w:szCs w:val="22"/>
        </w:rPr>
      </w:pPr>
      <w:r>
        <w:rPr>
          <w:sz w:val="22"/>
          <w:szCs w:val="22"/>
        </w:rPr>
        <w:t xml:space="preserve"> </w:t>
      </w:r>
    </w:p>
    <w:p>
      <w:pPr>
        <w:pStyle w:val="BodyText"/>
        <w:widowControl/>
        <w:rPr/>
      </w:pPr>
      <w:r>
        <w:rPr/>
        <w:tab/>
        <w:t xml:space="preserve">WHEREAS, STAR Assignor desires to assign and delegate to KSTAR Assignee all of its rights, duties, and obligations in and to the NYMEX Transaction, as amended hereby (the “NYMEX Amended Transaction”) and the Basis Transactions and KSTAR Assignee desires to accept such assignment and delegation and to assume such rights, duties, and obligations in and under the NYMEX Amended Transaction and the Basis Transactions in accordance with the terms hereof. </w:t>
      </w:r>
    </w:p>
    <w:p>
      <w:pPr>
        <w:pStyle w:val="BodyText"/>
        <w:widowControl/>
        <w:rPr/>
      </w:pPr>
      <w:r>
        <w:rPr/>
      </w:r>
    </w:p>
    <w:p>
      <w:pPr>
        <w:pStyle w:val="BodyText"/>
        <w:widowControl/>
        <w:ind w:firstLine="720" w:end="0"/>
        <w:rPr/>
      </w:pPr>
      <w:r>
        <w:rPr/>
        <w:t xml:space="preserve">WHEREAS, RMT Assignor desires to assign and delegate to ENA Assignee all of its rights, duties, and obligations in and to the NYMEX Amended Transaction and the Basis Transactions and ENA Assignee desires to accept such assignment and delegation and to assume such rights, duties, and obligations in and under the NYMEX Amended Transaction and the Basis Transactions in accordance with the terms hereof. </w:t>
      </w:r>
    </w:p>
    <w:p>
      <w:pPr>
        <w:pStyle w:val="Normal"/>
        <w:widowControl/>
        <w:jc w:val="both"/>
        <w:rPr>
          <w:sz w:val="22"/>
          <w:szCs w:val="22"/>
        </w:rPr>
      </w:pPr>
      <w:r>
        <w:rPr>
          <w:sz w:val="22"/>
          <w:szCs w:val="22"/>
        </w:rPr>
      </w:r>
    </w:p>
    <w:p>
      <w:pPr>
        <w:pStyle w:val="Normal"/>
        <w:widowControl/>
        <w:ind w:firstLine="720" w:end="0"/>
        <w:jc w:val="both"/>
        <w:rPr>
          <w:sz w:val="22"/>
          <w:szCs w:val="22"/>
        </w:rPr>
      </w:pPr>
      <w:r>
        <w:rPr>
          <w:sz w:val="22"/>
          <w:szCs w:val="22"/>
        </w:rPr>
        <w:t>WHEREAS, STAR Assignor desires to obtain the written consent of RMT Assignor to such assignment, delegation, and assumption of the NYMEX Amended Transaction and the Basis Transactions and RMT Assignor desires to grant such consent in accordance with the terms hereof.</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WHEREAS, RMT Assignor desires to obtain the written consent of STAR Assignor to such assignment, delegation, and assumption of the NYMEX Amended Transaction and the Basis Transactions and STAR Assignor desires to grant such consent in accordance with the terms hereof.</w:t>
      </w:r>
    </w:p>
    <w:p>
      <w:pPr>
        <w:pStyle w:val="Normal"/>
        <w:widowControl/>
        <w:jc w:val="both"/>
        <w:rPr>
          <w:sz w:val="22"/>
          <w:szCs w:val="22"/>
        </w:rPr>
      </w:pPr>
      <w:r>
        <w:rPr>
          <w:sz w:val="22"/>
          <w:szCs w:val="22"/>
        </w:rPr>
      </w:r>
    </w:p>
    <w:p>
      <w:pPr>
        <w:pStyle w:val="Normal"/>
        <w:widowControl/>
        <w:jc w:val="both"/>
        <w:rPr/>
      </w:pPr>
      <w:r>
        <w:rPr>
          <w:sz w:val="22"/>
          <w:szCs w:val="22"/>
        </w:rPr>
        <w:tab/>
        <w:t xml:space="preserve">WHEREAS, KSTAR Assignee and ENA Assignee desire that from and after the Assignment Effective Date that the NYMEX Amended Transaction and the Basis Transactions be governed by that certain ISDA Master Agreement dated as of June </w:t>
      </w:r>
      <w:r>
        <w:rPr>
          <w:strike/>
          <w:sz w:val="22"/>
          <w:szCs w:val="22"/>
        </w:rPr>
        <w:t>{__}</w:t>
      </w:r>
      <w:r>
        <w:rPr>
          <w:b/>
          <w:bCs/>
          <w:sz w:val="22"/>
          <w:szCs w:val="22"/>
        </w:rPr>
        <w:t>[1]</w:t>
      </w:r>
      <w:r>
        <w:rPr>
          <w:sz w:val="22"/>
          <w:szCs w:val="22"/>
        </w:rPr>
        <w:t>, 2001, between KSTAR Assignee and ENA Assignee (the “KSTAR ENA Master Agreement”).</w:t>
      </w:r>
    </w:p>
    <w:p>
      <w:pPr>
        <w:pStyle w:val="Normal"/>
        <w:widowControl/>
        <w:ind w:firstLine="720" w:end="0"/>
        <w:jc w:val="both"/>
        <w:rPr>
          <w:sz w:val="22"/>
          <w:szCs w:val="22"/>
        </w:rPr>
      </w:pPr>
      <w:r>
        <w:rPr>
          <w:sz w:val="22"/>
          <w:szCs w:val="22"/>
        </w:rPr>
      </w:r>
    </w:p>
    <w:p>
      <w:pPr>
        <w:pStyle w:val="Normal"/>
        <w:widowControl/>
        <w:jc w:val="both"/>
        <w:rPr>
          <w:sz w:val="22"/>
          <w:szCs w:val="22"/>
        </w:rPr>
      </w:pPr>
      <w:r>
        <w:rPr>
          <w:sz w:val="22"/>
          <w:szCs w:val="22"/>
        </w:rPr>
        <w:tab/>
        <w:t>NOW, THEREFORE, in consideration of the premises and of the mutual agreements herein contained, the parties hereto agree as follows:</w:t>
      </w:r>
    </w:p>
    <w:p>
      <w:pPr>
        <w:pStyle w:val="Normal"/>
        <w:widowControl/>
        <w:jc w:val="both"/>
        <w:rPr>
          <w:sz w:val="22"/>
          <w:szCs w:val="22"/>
        </w:rPr>
      </w:pPr>
      <w:r>
        <w:rPr>
          <w:sz w:val="22"/>
          <w:szCs w:val="22"/>
        </w:rPr>
      </w:r>
    </w:p>
    <w:p>
      <w:pPr>
        <w:pStyle w:val="Normal"/>
        <w:widowControl/>
        <w:jc w:val="both"/>
        <w:rPr/>
      </w:pPr>
      <w:r>
        <w:rPr>
          <w:sz w:val="22"/>
          <w:szCs w:val="22"/>
        </w:rPr>
        <w:t xml:space="preserve">1.  </w:t>
      </w:r>
      <w:r>
        <w:rPr>
          <w:sz w:val="22"/>
          <w:szCs w:val="22"/>
          <w:u w:val="single"/>
        </w:rPr>
        <w:t>Amendment</w:t>
      </w:r>
      <w:r>
        <w:rPr>
          <w:sz w:val="22"/>
          <w:szCs w:val="22"/>
        </w:rPr>
        <w:t>.  Each of STAR Assignor and RMT Assignor hereby agrees to amend the NYMEX Transaction to substitute the NYMEX Amended Quantities for the Quantity Per Month Per Calculation Period set forth in the Attachment to the NYMEX Transaction; provided, the amendment of the NYMEX Transaction shall apply only to the NYMEX Amended Quantities and the Remaining Quantities shall continue in effect under the original terms of the NYMEX Transaction between STAR Assignor and RMT Assignor subject to the STAR RMT Master Agreement.</w:t>
      </w:r>
    </w:p>
    <w:p>
      <w:pPr>
        <w:pStyle w:val="Normal"/>
        <w:widowControl/>
        <w:jc w:val="both"/>
        <w:rPr>
          <w:sz w:val="22"/>
          <w:szCs w:val="22"/>
        </w:rPr>
      </w:pPr>
      <w:r>
        <w:rPr>
          <w:sz w:val="22"/>
          <w:szCs w:val="22"/>
        </w:rPr>
      </w:r>
    </w:p>
    <w:p>
      <w:pPr>
        <w:pStyle w:val="Normal"/>
        <w:widowControl/>
        <w:jc w:val="both"/>
        <w:rPr/>
      </w:pPr>
      <w:r>
        <w:rPr>
          <w:sz w:val="22"/>
          <w:szCs w:val="22"/>
        </w:rPr>
        <w:t xml:space="preserve">2.  </w:t>
      </w:r>
      <w:r>
        <w:rPr>
          <w:sz w:val="22"/>
          <w:szCs w:val="22"/>
          <w:u w:val="single"/>
        </w:rPr>
        <w:t>Assignments, Assumptions, and Releases</w:t>
      </w:r>
      <w:r>
        <w:rPr>
          <w:sz w:val="22"/>
          <w:szCs w:val="22"/>
        </w:rPr>
        <w:t>.  Effective as of and from the Assignment Effective Date, STAR Assignor hereby assigns and delegates to KSTAR Assignee all of STAR Assignor’s rights, duties, and obligations in and to the NYMEX Amended Transaction and the Basis Transactions and KSTAR Assignee hereby accepts such assignment and delegation and assumes such rights, duties, and obligations.  As of and from the Assignment Effective Date, STAR Assignor shall be fully released from all rights, duties, and obligations in and to the NYMEX Amended Transaction and the Basis Transactions and the guaranty of Enron Corp. supporting the obligations of STAR Assignor shall not guaranty the NYMEX Amended Transaction or the Basis Transactions.  Effective as of and from the Assignment Effective Date, RMT Assignor hereby assigns and delegates to ENA Assignee all of RMT Assignor’s rights, duties, and obligations in and to the NYMEX Amended Transaction and the Basis Transactions and ENA Assignee hereby accepts such assignment and delegation and assumes such rights, duties, and obligations.  As of and from the Assignment Effective Date, RMT Assignor shall be fully released from all rights, duties, and obligations in and to the NYMEX Amended Transaction and the Basis Transactions.  Notwithstanding the foregoing, the NYMEX Transaction between STAR Assignor and RMT Assignor shall continue in effect with respect to the Remaining Quantities subject to the STAR RMT Master Agreement.</w:t>
      </w:r>
    </w:p>
    <w:p>
      <w:pPr>
        <w:pStyle w:val="Normal"/>
        <w:widowControl/>
        <w:jc w:val="both"/>
        <w:rPr>
          <w:sz w:val="22"/>
          <w:szCs w:val="22"/>
        </w:rPr>
      </w:pPr>
      <w:r>
        <w:rPr>
          <w:sz w:val="22"/>
          <w:szCs w:val="22"/>
        </w:rPr>
      </w:r>
    </w:p>
    <w:p>
      <w:pPr>
        <w:pStyle w:val="Normal"/>
        <w:widowControl/>
        <w:jc w:val="both"/>
        <w:rPr/>
      </w:pPr>
      <w:r>
        <w:rPr>
          <w:sz w:val="22"/>
          <w:szCs w:val="22"/>
        </w:rPr>
        <w:t xml:space="preserve">3.  </w:t>
      </w:r>
      <w:r>
        <w:rPr>
          <w:sz w:val="22"/>
          <w:szCs w:val="22"/>
          <w:u w:val="single"/>
        </w:rPr>
        <w:t>Master Agreement and Transaction</w:t>
      </w:r>
      <w:r>
        <w:rPr>
          <w:sz w:val="22"/>
          <w:szCs w:val="22"/>
        </w:rPr>
        <w:t>.  KSTAR Assignee and ENA Assignee further agree that effective as of and from the Assignment Effective Date, the NYMEX Amended Transaction and the Basis Transactions shall be governed by and subject to the KSTAR ENA Master Agreement wherein KSTAR Assignee is Party B and ENA Assignee is Party A.</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4.  </w:t>
      </w:r>
      <w:r>
        <w:rPr>
          <w:sz w:val="22"/>
          <w:szCs w:val="22"/>
          <w:u w:val="single"/>
        </w:rPr>
        <w:t>Consent and Acknowledgment of RMT Assignor</w:t>
      </w:r>
      <w:r>
        <w:rPr>
          <w:sz w:val="22"/>
          <w:szCs w:val="22"/>
        </w:rPr>
        <w:t>.  RMT Assignor hereby consents to the assignment and delegation by STAR Assignor to KSTAR Assignee of all the rights, duties, and obligations of STAR Assignor in and to the NYMEX Amended Transaction and the Basis Transactions and acknowledges and agrees that STAR Assignor shall be fully released as of and from the Assignment Effective Date from its rights, duties, and obligations under the NYMEX Amended Transaction and the Basis Transactions.</w:t>
      </w:r>
    </w:p>
    <w:p>
      <w:pPr>
        <w:pStyle w:val="Normal"/>
        <w:keepNext w:val="true"/>
        <w:widowControl/>
        <w:jc w:val="both"/>
        <w:rPr>
          <w:sz w:val="22"/>
          <w:szCs w:val="22"/>
        </w:rPr>
      </w:pPr>
      <w:r>
        <w:rPr>
          <w:sz w:val="22"/>
          <w:szCs w:val="22"/>
        </w:rPr>
      </w:r>
    </w:p>
    <w:p>
      <w:pPr>
        <w:pStyle w:val="Normal"/>
        <w:keepNext w:val="true"/>
        <w:widowControl/>
        <w:jc w:val="both"/>
        <w:rPr/>
      </w:pPr>
      <w:r>
        <w:rPr>
          <w:sz w:val="22"/>
          <w:szCs w:val="22"/>
        </w:rPr>
        <w:t xml:space="preserve">5.  </w:t>
      </w:r>
      <w:r>
        <w:rPr>
          <w:sz w:val="22"/>
          <w:szCs w:val="22"/>
          <w:u w:val="single"/>
        </w:rPr>
        <w:t>Consent and Acknowledgment of STAR Assignor</w:t>
      </w:r>
      <w:r>
        <w:rPr>
          <w:sz w:val="22"/>
          <w:szCs w:val="22"/>
        </w:rPr>
        <w:t>.  STAR Assignor hereby consents to the assignment and delegation by RMT Assignor to ENA Assignee of all the rights, duties, and obligations of RMT Assignor in and to the NYMEX Amended Transaction and the Basis Transactions and acknowledges and agrees that RMT Assignor shall be fully released as of and from the Assignment Effective Date from its rights, duties, and obligations under the NYMEX Amended Transaction and the Basis Transactions.</w:t>
      </w:r>
    </w:p>
    <w:p>
      <w:pPr>
        <w:pStyle w:val="Normal"/>
        <w:widowControl/>
        <w:jc w:val="both"/>
        <w:rPr>
          <w:sz w:val="22"/>
          <w:szCs w:val="22"/>
        </w:rPr>
      </w:pPr>
      <w:r>
        <w:rPr>
          <w:sz w:val="22"/>
          <w:szCs w:val="22"/>
        </w:rPr>
      </w:r>
    </w:p>
    <w:p>
      <w:pPr>
        <w:pStyle w:val="Normal"/>
        <w:widowControl/>
        <w:jc w:val="both"/>
        <w:rPr/>
      </w:pPr>
      <w:r>
        <w:rPr>
          <w:sz w:val="22"/>
          <w:szCs w:val="22"/>
        </w:rPr>
        <w:t xml:space="preserve">6.  </w:t>
      </w:r>
      <w:r>
        <w:rPr>
          <w:sz w:val="22"/>
          <w:szCs w:val="22"/>
          <w:u w:val="single"/>
        </w:rPr>
        <w:t>Representations</w:t>
      </w:r>
      <w:r>
        <w:rPr>
          <w:sz w:val="22"/>
          <w:szCs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widowControl/>
        <w:jc w:val="both"/>
        <w:rPr>
          <w:sz w:val="22"/>
          <w:szCs w:val="22"/>
        </w:rPr>
      </w:pPr>
      <w:r>
        <w:rPr>
          <w:sz w:val="22"/>
          <w:szCs w:val="22"/>
        </w:rPr>
      </w:r>
    </w:p>
    <w:p>
      <w:pPr>
        <w:pStyle w:val="Normal"/>
        <w:widowControl/>
        <w:jc w:val="both"/>
        <w:rPr/>
      </w:pPr>
      <w:r>
        <w:rPr>
          <w:sz w:val="22"/>
          <w:szCs w:val="22"/>
        </w:rPr>
        <w:t xml:space="preserve">7.  </w:t>
      </w:r>
      <w:r>
        <w:rPr>
          <w:sz w:val="22"/>
          <w:szCs w:val="22"/>
          <w:u w:val="single"/>
        </w:rPr>
        <w:t>Governing Law</w:t>
      </w:r>
      <w:r>
        <w:rPr>
          <w:sz w:val="22"/>
          <w:szCs w:val="22"/>
        </w:rPr>
        <w:t>.  This Assignment Agreement shall be governed by and construed in accordance with the laws of the State of New York without reference to its choice of law doctrine.</w:t>
      </w:r>
    </w:p>
    <w:p>
      <w:pPr>
        <w:pStyle w:val="Normal"/>
        <w:widowControl/>
        <w:jc w:val="both"/>
        <w:rPr>
          <w:sz w:val="22"/>
          <w:szCs w:val="22"/>
        </w:rPr>
      </w:pPr>
      <w:r>
        <w:rPr>
          <w:sz w:val="22"/>
          <w:szCs w:val="22"/>
        </w:rPr>
      </w:r>
    </w:p>
    <w:p>
      <w:pPr>
        <w:pStyle w:val="Normal"/>
        <w:widowControl/>
        <w:jc w:val="both"/>
        <w:rPr/>
      </w:pPr>
      <w:r>
        <w:rPr>
          <w:sz w:val="22"/>
          <w:szCs w:val="22"/>
        </w:rPr>
        <w:t xml:space="preserve">8.  </w:t>
      </w:r>
      <w:r>
        <w:rPr>
          <w:sz w:val="22"/>
          <w:szCs w:val="22"/>
          <w:u w:val="single"/>
        </w:rPr>
        <w:t>Counterparts</w:t>
      </w:r>
      <w:r>
        <w:rPr>
          <w:sz w:val="22"/>
          <w:szCs w:val="22"/>
        </w:rPr>
        <w:t>.  This Assignment Agreement may be executed by original or facsimile signature in any number of counterparts, each of which shall be deemed an original instrument and all of which when taken together shall constitute one and the same agreement.</w:t>
      </w:r>
    </w:p>
    <w:p>
      <w:pPr>
        <w:pStyle w:val="Normal"/>
        <w:widowControl/>
        <w:jc w:val="both"/>
        <w:rPr>
          <w:sz w:val="22"/>
          <w:szCs w:val="22"/>
          <w:u w:val="single"/>
        </w:rPr>
      </w:pPr>
      <w:r>
        <w:rPr>
          <w:sz w:val="22"/>
          <w:szCs w:val="22"/>
          <w:u w:val="single"/>
        </w:rPr>
      </w:r>
      <w:r>
        <w:br w:type="page"/>
      </w:r>
    </w:p>
    <w:p>
      <w:pPr>
        <w:pStyle w:val="Normal"/>
        <w:keepNext w:val="true"/>
        <w:widowControl/>
        <w:jc w:val="both"/>
        <w:rPr>
          <w:b/>
          <w:bCs/>
          <w:sz w:val="22"/>
          <w:szCs w:val="22"/>
          <w:u w:val="single"/>
        </w:rPr>
      </w:pPr>
      <w:r>
        <w:rPr>
          <w:b/>
          <w:bCs/>
          <w:sz w:val="22"/>
          <w:szCs w:val="22"/>
          <w:u w:val="single"/>
        </w:rPr>
      </w:r>
    </w:p>
    <w:p>
      <w:pPr>
        <w:pStyle w:val="Normal"/>
        <w:keepNext w:val="true"/>
        <w:widowControl/>
        <w:jc w:val="both"/>
        <w:rPr/>
      </w:pPr>
      <w:r>
        <w:rPr>
          <w:b/>
          <w:bCs/>
          <w:sz w:val="22"/>
          <w:szCs w:val="22"/>
        </w:rPr>
        <w:tab/>
      </w:r>
      <w:r>
        <w:rPr>
          <w:sz w:val="22"/>
          <w:szCs w:val="22"/>
        </w:rPr>
        <w:t>IN WITNESS WHEREOF, the parties hereto have executed this Assignment Agreement effective as of the Assignment Effective Date.</w:t>
      </w:r>
    </w:p>
    <w:p>
      <w:pPr>
        <w:pStyle w:val="Normal"/>
        <w:keepNext w:val="true"/>
        <w:widowControl/>
        <w:jc w:val="both"/>
        <w:rPr>
          <w:sz w:val="22"/>
          <w:szCs w:val="22"/>
        </w:rPr>
      </w:pPr>
      <w:r>
        <w:rPr>
          <w:sz w:val="22"/>
          <w:szCs w:val="22"/>
        </w:rPr>
      </w:r>
    </w:p>
    <w:p>
      <w:pPr>
        <w:pStyle w:val="Normal"/>
        <w:keepNext w:val="true"/>
        <w:widowControl/>
        <w:jc w:val="both"/>
        <w:rPr>
          <w:sz w:val="22"/>
          <w:szCs w:val="22"/>
        </w:rPr>
      </w:pPr>
      <w:r>
        <w:rPr>
          <w:sz w:val="22"/>
          <w:szCs w:val="22"/>
        </w:rPr>
      </w:r>
    </w:p>
    <w:p>
      <w:pPr>
        <w:pStyle w:val="Normal"/>
        <w:widowControl/>
        <w:ind w:start="4320" w:end="0"/>
        <w:jc w:val="both"/>
        <w:rPr>
          <w:sz w:val="22"/>
          <w:szCs w:val="22"/>
        </w:rPr>
      </w:pPr>
      <w:r>
        <w:rPr>
          <w:sz w:val="22"/>
          <w:szCs w:val="22"/>
        </w:rPr>
      </w:r>
    </w:p>
    <w:p>
      <w:pPr>
        <w:pStyle w:val="Heading2"/>
        <w:widowControl/>
        <w:rPr/>
      </w:pPr>
      <w:r>
        <w:rPr/>
        <w:t>RISK MANAGEMENT &amp; TRADING  CORP.</w:t>
        <w:tab/>
        <w:tab/>
        <w:tab/>
        <w:tab/>
        <w:tab/>
        <w:tab/>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b/>
          <w:bCs/>
          <w:sz w:val="22"/>
          <w:szCs w:val="22"/>
        </w:rPr>
        <w:t>ENRON NORTH AMERICA CORP.</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b/>
          <w:bCs/>
          <w:sz w:val="22"/>
          <w:szCs w:val="22"/>
        </w:rPr>
      </w:pPr>
      <w:r>
        <w:rPr>
          <w:b/>
          <w:bCs/>
          <w:sz w:val="22"/>
          <w:szCs w:val="22"/>
        </w:rPr>
        <w:t>STAR VPP,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KCSE STAR,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sz w:val="22"/>
          <w:szCs w:val="22"/>
        </w:rPr>
      </w:pPr>
      <w:r>
        <w:rPr>
          <w:sz w:val="22"/>
          <w:szCs w:val="22"/>
        </w:rPr>
      </w:r>
    </w:p>
    <w:p>
      <w:pPr>
        <w:pStyle w:val="Normal"/>
        <w:widowControl/>
        <w:ind w:start="4320" w:end="0"/>
        <w:jc w:val="both"/>
        <w:rPr>
          <w:sz w:val="22"/>
          <w:szCs w:val="22"/>
        </w:rPr>
      </w:pPr>
      <w:r>
        <w:rPr>
          <w:sz w:val="22"/>
          <w:szCs w:val="22"/>
        </w:rPr>
      </w:r>
    </w:p>
    <w:p>
      <w:pPr>
        <w:pStyle w:val="Normal"/>
        <w:widowControl/>
        <w:ind w:start="4320" w:end="0"/>
        <w:jc w:val="both"/>
        <w:rPr/>
      </w:pPr>
      <w:r>
        <w:rPr>
          <w:b/>
          <w:bCs/>
          <w:sz w:val="22"/>
          <w:szCs w:val="22"/>
        </w:rPr>
        <w:t xml:space="preserve">KSTAR VPP </w:t>
      </w:r>
      <w:r>
        <w:rPr>
          <w:b/>
          <w:bCs/>
          <w:strike/>
          <w:sz w:val="22"/>
          <w:szCs w:val="22"/>
        </w:rPr>
        <w:t>{LIMITED PARTNERSHIP}</w:t>
      </w:r>
      <w:r>
        <w:rPr>
          <w:b/>
          <w:bCs/>
          <w:sz w:val="22"/>
          <w:szCs w:val="22"/>
        </w:rPr>
        <w:t xml:space="preserve"> [LP]</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t>BY:  MAGUEY VPP, LLC, its General Partner</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pStyle w:val="Normal"/>
        <w:widowControl/>
        <w:ind w:start="4320" w:end="0"/>
        <w:jc w:val="both"/>
        <w:rPr>
          <w:sz w:val="22"/>
          <w:szCs w:val="22"/>
        </w:rPr>
      </w:pPr>
      <w:r>
        <w:rPr>
          <w:sz w:val="22"/>
          <w:szCs w:val="22"/>
        </w:rPr>
        <w:t>By:  _________________________________</w:t>
      </w:r>
    </w:p>
    <w:p>
      <w:pPr>
        <w:pStyle w:val="Normal"/>
        <w:widowControl/>
        <w:ind w:start="4320" w:end="0"/>
        <w:jc w:val="both"/>
        <w:rPr>
          <w:sz w:val="22"/>
          <w:szCs w:val="22"/>
        </w:rPr>
      </w:pPr>
      <w:r>
        <w:rPr>
          <w:sz w:val="22"/>
          <w:szCs w:val="22"/>
        </w:rPr>
        <w:t>Name:  _______________________________</w:t>
      </w:r>
    </w:p>
    <w:p>
      <w:pPr>
        <w:pStyle w:val="Normal"/>
        <w:widowControl/>
        <w:ind w:start="4320" w:end="0"/>
        <w:jc w:val="both"/>
        <w:rPr>
          <w:sz w:val="22"/>
          <w:szCs w:val="22"/>
        </w:rPr>
      </w:pPr>
      <w:r>
        <w:rPr>
          <w:sz w:val="22"/>
          <w:szCs w:val="22"/>
        </w:rPr>
        <w:t>Title: ________________________________</w:t>
      </w:r>
    </w:p>
    <w:p>
      <w:pPr>
        <w:pStyle w:val="Normal"/>
        <w:widowControl/>
        <w:ind w:start="4320" w:end="0"/>
        <w:jc w:val="both"/>
        <w:rPr>
          <w:b/>
          <w:bCs/>
          <w:sz w:val="22"/>
          <w:szCs w:val="22"/>
        </w:rPr>
      </w:pPr>
      <w:r>
        <w:rPr>
          <w:b/>
          <w:bCs/>
          <w:sz w:val="22"/>
          <w:szCs w:val="22"/>
        </w:rPr>
      </w:r>
    </w:p>
    <w:p>
      <w:pPr>
        <w:pStyle w:val="Normal"/>
        <w:widowControl/>
        <w:ind w:start="4320" w:end="0"/>
        <w:jc w:val="both"/>
        <w:rPr>
          <w:b/>
          <w:bCs/>
          <w:sz w:val="22"/>
          <w:szCs w:val="22"/>
        </w:rPr>
      </w:pPr>
      <w:r>
        <w:rPr>
          <w:b/>
          <w:bCs/>
          <w:sz w:val="22"/>
          <w:szCs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sz w:val="22"/>
          <w:szCs w:val="22"/>
        </w:rPr>
      </w:pPr>
      <w:r>
        <w:rPr>
          <w:sz w:val="22"/>
          <w:szCs w:val="22"/>
        </w:rPr>
      </w:r>
    </w:p>
    <w:p>
      <w:pPr>
        <w:pStyle w:val="Normal"/>
        <w:widowControl/>
        <w:jc w:val="center"/>
        <w:rPr>
          <w:b/>
          <w:bCs/>
          <w:sz w:val="22"/>
          <w:szCs w:val="22"/>
        </w:rPr>
      </w:pPr>
      <w:r>
        <w:rPr>
          <w:b/>
          <w:bCs/>
          <w:sz w:val="22"/>
          <w:szCs w:val="22"/>
        </w:rPr>
        <w:t>SCHEDULE 1-A</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(The NYMEX Transaction)</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SCHEDULE 1-B</w:t>
      </w:r>
    </w:p>
    <w:p>
      <w:pPr>
        <w:pStyle w:val="Normal"/>
        <w:widowControl/>
        <w:jc w:val="center"/>
        <w:rPr>
          <w:b/>
          <w:bCs/>
          <w:sz w:val="22"/>
          <w:szCs w:val="22"/>
        </w:rPr>
      </w:pPr>
      <w:r>
        <w:rPr>
          <w:b/>
          <w:bCs/>
          <w:sz w:val="22"/>
          <w:szCs w:val="22"/>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widowControl/>
        <w:jc w:val="center"/>
        <w:rPr>
          <w:b/>
          <w:bCs/>
          <w:sz w:val="22"/>
          <w:szCs w:val="22"/>
        </w:rPr>
      </w:pPr>
      <w:r>
        <w:rPr>
          <w:b/>
          <w:bCs/>
          <w:sz w:val="22"/>
          <w:szCs w:val="22"/>
        </w:rPr>
        <w:t>(The Basis Transactions)</w:t>
      </w:r>
    </w:p>
    <w:p>
      <w:pPr>
        <w:pStyle w:val="Normal"/>
        <w:widowControl/>
        <w:jc w:val="center"/>
        <w:rPr>
          <w:b/>
          <w:bCs/>
          <w:sz w:val="22"/>
          <w:szCs w:val="22"/>
        </w:rPr>
      </w:pPr>
      <w:r>
        <w:rPr>
          <w:b/>
          <w:bCs/>
          <w:sz w:val="22"/>
          <w:szCs w:val="22"/>
        </w:rPr>
        <w:t>SCHEDULE 2</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(The NYMEX Amended Quantities)</w:t>
      </w:r>
    </w:p>
    <w:p>
      <w:pPr>
        <w:pStyle w:val="Normal"/>
        <w:widowControl/>
        <w:jc w:val="center"/>
        <w:rPr>
          <w:b/>
          <w:bCs/>
          <w:sz w:val="22"/>
          <w:szCs w:val="22"/>
        </w:rPr>
      </w:pPr>
      <w:r>
        <w:rPr>
          <w:b/>
          <w:bCs/>
          <w:sz w:val="22"/>
          <w:szCs w:val="22"/>
        </w:rPr>
      </w:r>
    </w:p>
    <w:p>
      <w:pPr>
        <w:pStyle w:val="Normal"/>
        <w:widowControl/>
        <w:jc w:val="both"/>
        <w:rPr>
          <w:sz w:val="22"/>
          <w:szCs w:val="22"/>
        </w:rPr>
      </w:pPr>
      <w:r>
        <w:rPr>
          <w:sz w:val="22"/>
          <w:szCs w:val="22"/>
        </w:rPr>
        <w:t>Quantity Measurement:  MMBtu</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r>
    </w:p>
    <w:p>
      <w:pPr>
        <w:pStyle w:val="Normal"/>
        <w:widowControl/>
        <w:ind w:firstLine="720" w:end="0"/>
        <w:jc w:val="both"/>
        <w:rPr>
          <w:sz w:val="22"/>
          <w:szCs w:val="22"/>
        </w:rPr>
      </w:pPr>
      <w:r>
        <w:rPr>
          <w:sz w:val="22"/>
          <w:szCs w:val="22"/>
        </w:rPr>
        <w:t>Calculation</w:t>
        <w:tab/>
        <w:t>Notional Quantity</w:t>
      </w:r>
    </w:p>
    <w:p>
      <w:pPr>
        <w:pStyle w:val="Normal"/>
        <w:widowControl/>
        <w:ind w:firstLine="720" w:end="0"/>
        <w:jc w:val="both"/>
        <w:rPr>
          <w:sz w:val="22"/>
          <w:szCs w:val="22"/>
        </w:rPr>
      </w:pPr>
      <w:r>
        <w:rPr>
          <w:sz w:val="22"/>
          <w:szCs w:val="22"/>
        </w:rPr>
        <w:t>Period</w:t>
        <w:tab/>
        <w:tab/>
        <w:t>Per Calculation</w:t>
      </w:r>
    </w:p>
    <w:p>
      <w:pPr>
        <w:pStyle w:val="Normal"/>
        <w:widowControl/>
        <w:ind w:firstLine="720" w:end="0"/>
        <w:jc w:val="both"/>
        <w:rPr>
          <w:sz w:val="22"/>
          <w:szCs w:val="22"/>
        </w:rPr>
      </w:pPr>
      <w:r>
        <w:rPr>
          <w:sz w:val="22"/>
          <w:szCs w:val="22"/>
        </w:rPr>
        <w:tab/>
        <w:tab/>
        <w:t>Period</w:t>
      </w:r>
    </w:p>
    <w:p>
      <w:pPr>
        <w:pStyle w:val="Normal"/>
        <w:widowControl/>
        <w:jc w:val="center"/>
        <w:rPr>
          <w:sz w:val="22"/>
          <w:szCs w:val="22"/>
        </w:rPr>
      </w:pPr>
      <w:r>
        <w:rPr>
          <w:sz w:val="22"/>
          <w:szCs w:val="22"/>
        </w:rPr>
      </w:r>
    </w:p>
    <w:p>
      <w:pPr>
        <w:pStyle w:val="Normal"/>
        <w:widowControl/>
        <w:jc w:val="center"/>
        <w:rPr>
          <w:sz w:val="22"/>
          <w:szCs w:val="22"/>
        </w:rPr>
      </w:pPr>
      <w:r>
        <w:rPr>
          <w:sz w:val="22"/>
          <w:szCs w:val="22"/>
        </w:rPr>
      </w:r>
    </w:p>
    <w:tbl>
      <w:tblPr>
        <w:tblW w:w="2930" w:type="dxa"/>
        <w:jc w:val="start"/>
        <w:tblInd w:w="360" w:type="dxa"/>
        <w:tblLayout w:type="fixed"/>
        <w:tblCellMar>
          <w:top w:w="0" w:type="dxa"/>
          <w:start w:w="0" w:type="dxa"/>
          <w:bottom w:w="0" w:type="dxa"/>
          <w:end w:w="0" w:type="dxa"/>
        </w:tblCellMar>
      </w:tblPr>
      <w:tblGrid>
        <w:gridCol w:w="1170"/>
        <w:gridCol w:w="1760"/>
      </w:tblGrid>
      <w:tr>
        <w:trPr>
          <w:trHeight w:val="255" w:hRule="atLeast"/>
        </w:trPr>
        <w:tc>
          <w:tcPr>
            <w:tcW w:w="1170" w:type="dxa"/>
            <w:tcBorders/>
            <w:vAlign w:val="bottom"/>
          </w:tcPr>
          <w:p>
            <w:pPr>
              <w:pStyle w:val="Normal"/>
              <w:widowControl/>
              <w:jc w:val="end"/>
              <w:rPr>
                <w:szCs w:val="20"/>
              </w:rPr>
            </w:pPr>
            <w:r>
              <w:rPr>
                <w:szCs w:val="20"/>
              </w:rPr>
              <w:t>/01</w:t>
            </w:r>
          </w:p>
        </w:tc>
        <w:tc>
          <w:tcPr>
            <w:tcW w:w="1760" w:type="dxa"/>
            <w:tcBorders/>
            <w:vAlign w:val="bottom"/>
          </w:tcPr>
          <w:p>
            <w:pPr>
              <w:pStyle w:val="Normal"/>
              <w:widowControl/>
              <w:snapToGrid w:val="false"/>
              <w:jc w:val="center"/>
              <w:rPr>
                <w:rFonts w:ascii="Arial" w:hAnsi="Arial" w:cs="Arial"/>
                <w:szCs w:val="20"/>
              </w:rPr>
            </w:pPr>
            <w:r>
              <w:rPr>
                <w:rFonts w:cs="Arial" w:ascii="Arial" w:hAnsi="Arial"/>
                <w:szCs w:val="20"/>
              </w:rPr>
            </w:r>
          </w:p>
        </w:tc>
      </w:tr>
      <w:tr>
        <w:trPr>
          <w:trHeight w:val="255" w:hRule="atLeast"/>
        </w:trPr>
        <w:tc>
          <w:tcPr>
            <w:tcW w:w="1170" w:type="dxa"/>
            <w:tcBorders/>
            <w:vAlign w:val="bottom"/>
          </w:tcPr>
          <w:p>
            <w:pPr>
              <w:pStyle w:val="Normal"/>
              <w:widowControl/>
              <w:snapToGrid w:val="false"/>
              <w:jc w:val="end"/>
              <w:rPr>
                <w:rFonts w:ascii="Arial" w:hAnsi="Arial" w:cs="Arial"/>
                <w:szCs w:val="20"/>
              </w:rPr>
            </w:pPr>
            <w:r>
              <w:rPr>
                <w:rFonts w:cs="Arial" w:ascii="Arial" w:hAnsi="Arial"/>
                <w:szCs w:val="20"/>
              </w:rPr>
            </w:r>
          </w:p>
        </w:tc>
        <w:tc>
          <w:tcPr>
            <w:tcW w:w="1760" w:type="dxa"/>
            <w:tcBorders/>
            <w:vAlign w:val="bottom"/>
          </w:tcPr>
          <w:p>
            <w:pPr>
              <w:pStyle w:val="Normal"/>
              <w:widowControl/>
              <w:snapToGrid w:val="false"/>
              <w:jc w:val="center"/>
              <w:rPr>
                <w:rFonts w:ascii="Arial" w:hAnsi="Arial" w:cs="Arial"/>
                <w:szCs w:val="20"/>
              </w:rPr>
            </w:pPr>
            <w:r>
              <w:rPr>
                <w:rFonts w:cs="Arial" w:ascii="Arial" w:hAnsi="Arial"/>
                <w:szCs w:val="20"/>
              </w:rPr>
            </w:r>
          </w:p>
        </w:tc>
      </w:tr>
    </w:tbl>
    <w:p>
      <w:pPr>
        <w:pStyle w:val="Normal"/>
        <w:widowControl/>
        <w:jc w:val="both"/>
        <w:rPr>
          <w:sz w:val="22"/>
          <w:szCs w:val="22"/>
        </w:rPr>
      </w:pPr>
      <w:r>
        <w:rPr>
          <w:sz w:val="22"/>
          <w:szCs w:val="22"/>
        </w:rPr>
      </w:r>
    </w:p>
    <w:p>
      <w:pPr>
        <w:pStyle w:val="Normal"/>
        <w:widowControl/>
        <w:jc w:val="both"/>
        <w:rPr>
          <w:sz w:val="22"/>
          <w:szCs w:val="22"/>
        </w:rPr>
      </w:pPr>
      <w:r>
        <w:rPr>
          <w:strike/>
          <w:sz w:val="22"/>
          <w:szCs w:val="22"/>
        </w:rPr>
        <w:t>{EXHIBIT TO BE COMPLETED AND APPROVED BY GAS DESK, MELENDREZ AND QUICK}</w:t>
      </w:r>
      <w:r>
        <w:br w:type="page"/>
      </w:r>
    </w:p>
    <w:p>
      <w:pPr>
        <w:pStyle w:val="Normal"/>
        <w:widowControl/>
        <w:spacing w:lineRule="atLeast" w:line="240"/>
        <w:rPr>
          <w:sz w:val="22"/>
          <w:szCs w:val="22"/>
        </w:rPr>
      </w:pPr>
      <w:r>
        <w:rPr>
          <w:sz w:val="22"/>
          <w:szCs w:val="22"/>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[1:3 1:3] Changed</w:t>
        <w:tab/>
        <w:t>"__" to "1"</w:t>
      </w:r>
    </w:p>
    <w:p>
      <w:pPr>
        <w:pStyle w:val="Normal"/>
        <w:widowControl/>
        <w:spacing w:lineRule="atLeast" w:line="240"/>
        <w:rPr/>
      </w:pPr>
      <w:r>
        <w:rPr/>
        <w:t>[1:3 1:3] Changed</w:t>
        <w:tab/>
        <w:t>"LIMITED PARTNERSHIP" to "LP"</w:t>
      </w:r>
    </w:p>
    <w:p>
      <w:pPr>
        <w:pStyle w:val="Normal"/>
        <w:widowControl/>
        <w:spacing w:lineRule="atLeast" w:line="240"/>
        <w:rPr/>
      </w:pPr>
      <w:r>
        <w:rPr/>
        <w:t>[1:6 1:6] Changed</w:t>
        <w:tab/>
        <w:t>"transactions  ...  referenced" to "transactions referenced"</w:t>
      </w:r>
    </w:p>
    <w:p>
      <w:pPr>
        <w:pStyle w:val="Normal"/>
        <w:widowControl/>
        <w:spacing w:lineRule="atLeast" w:line="240"/>
        <w:rPr/>
      </w:pPr>
      <w:r>
        <w:rPr/>
        <w:t>[1:12 1:12] Changed</w:t>
        <w:tab/>
        <w:t>"__" to "1"</w:t>
      </w:r>
    </w:p>
    <w:p>
      <w:pPr>
        <w:pStyle w:val="Normal"/>
        <w:widowControl/>
        <w:spacing w:lineRule="atLeast" w:line="240"/>
        <w:rPr/>
      </w:pPr>
      <w:r>
        <w:rPr/>
        <w:t>[2:15 2:15] Changed</w:t>
        <w:tab/>
        <w:t>"LIMITED PARTNERSHIP" to "LP"</w:t>
      </w:r>
    </w:p>
    <w:p>
      <w:pPr>
        <w:pStyle w:val="Normal"/>
        <w:widowControl/>
        <w:spacing w:lineRule="atLeast" w:line="240"/>
        <w:rPr/>
      </w:pPr>
      <w:r>
        <w:rPr/>
        <w:t>[2:31 2:30] Del Para</w:t>
        <w:tab/>
        <w:t>"EXHIBIT TO BE COMPLETED  ...  MELENDREZ AND QUICK"</w:t>
      </w:r>
    </w:p>
    <w:p>
      <w:pPr>
        <w:pStyle w:val="Normal"/>
        <w:widowControl/>
        <w:spacing w:lineRule="atLeast" w:line="240"/>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/mnt/main-storage/datasets/enron-docs/doc/KSTAR_GAS_SMALL_ASS_KCS_1_A_RED.doc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/mnt/main-storage/datasets/enron-docs/doc/KSTAR_GAS_SMALL_ASS_KCS_1_A_RED.doc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/mnt/main-storage/datasets/enron-docs/doc/KSTAR_GAS_SMALL_ASS_KCS_1_A_RED.doc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/mnt/main-storage/datasets/enron-docs/doc/KSTAR_GAS_SMALL_ASS_KCS_1_A_RED.doc</w:t>
    </w:r>
    <w:r>
      <w:rPr>
        <w:rStyle w:val="PageNumber"/>
        <w:sz w:val="16"/>
        <w:szCs w:val="16"/>
      </w:rPr>
      <w:fldChar w:fldCharType="end"/>
    </w:r>
  </w:p>
  <w:p>
    <w:pPr>
      <w:pStyle w:val="Footer"/>
      <w:widowControl/>
      <w:rPr>
        <w:rStyle w:val="PageNumber"/>
        <w:sz w:val="16"/>
        <w:szCs w:val="16"/>
      </w:rPr>
    </w:pPr>
    <w:r>
      <w:rPr/>
    </w:r>
  </w:p>
  <w:p>
    <w:pPr>
      <w:pStyle w:val="Footer"/>
      <w:widowControl/>
      <w:jc w:val="center"/>
      <w:rPr>
        <w:rStyle w:val="PageNumber"/>
        <w:sz w:val="16"/>
        <w:szCs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szCs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bCs/>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jc w:val="center"/>
    </w:pPr>
    <w:rPr>
      <w:b/>
      <w:bCs/>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szCs w:val="22"/>
    </w:rPr>
  </w:style>
  <w:style w:type="paragraph" w:styleId="BodyTextIndent2">
    <w:name w:val="Body Text Indent 2"/>
    <w:basedOn w:val="Normal"/>
    <w:qFormat/>
    <w:pPr>
      <w:ind w:hanging="0" w:start="4320" w:end="0"/>
    </w:pPr>
    <w:rPr>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2001-06-22T13:25:00Z</dcterms:created>
  <dc:creator>tjones</dc:creator>
  <dc:description/>
  <dc:language>en-CA</dc:language>
  <cp:lastModifiedBy>mcook</cp:lastModifiedBy>
  <cp:lastPrinted>2001-06-21T18:43:00Z</cp:lastPrinted>
  <dcterms:modified xsi:type="dcterms:W3CDTF">2001-06-22T13:25:00Z</dcterms:modified>
  <cp:revision>2</cp:revision>
  <dc:subject/>
  <dc:title>ASSIGNMENT AGREEMENT</dc:title>
</cp:coreProperties>
</file>