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KATHY MAYFIELD</w:t>
      </w:r>
    </w:p>
    <w:p>
      <w:pPr>
        <w:pStyle w:val="Heading1"/>
        <w:ind w:hanging="0" w:start="0"/>
        <w:rPr>
          <w:b w:val="false"/>
          <w:sz w:val="28"/>
        </w:rPr>
      </w:pPr>
      <w:r>
        <w:rPr>
          <w:sz w:val="28"/>
        </w:rPr>
        <w:t>JOB RESPONSIBILITIES</w:t>
      </w:r>
    </w:p>
    <w:p>
      <w:pPr>
        <w:pStyle w:val="Heading2"/>
        <w:ind w:hanging="0" w:start="0"/>
        <w:rPr>
          <w:b/>
          <w:i/>
          <w:i/>
          <w:sz w:val="28"/>
        </w:rPr>
      </w:pPr>
      <w:r>
        <w:rPr>
          <w:b/>
          <w:i/>
          <w:sz w:val="28"/>
        </w:rPr>
        <w:t>Revised – February 8, 2001</w:t>
      </w:r>
    </w:p>
    <w:p>
      <w:pPr>
        <w:pStyle w:val="Normal"/>
        <w:rPr>
          <w:b/>
          <w:i/>
          <w:i/>
          <w:sz w:val="28"/>
        </w:rPr>
      </w:pPr>
      <w:r>
        <w:rPr>
          <w:b/>
          <w:i/>
          <w:sz w:val="28"/>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BodyText"/>
        <w:jc w:val="both"/>
        <w:rPr>
          <w:sz w:val="22"/>
        </w:rPr>
      </w:pPr>
      <w:r>
        <w:rPr>
          <w:sz w:val="22"/>
        </w:rPr>
        <w:t xml:space="preserve">I propose that my responsibilities be divided between Community Relations (40%) and Government Affairs (60%).  </w:t>
      </w:r>
    </w:p>
    <w:p>
      <w:pPr>
        <w:pStyle w:val="BodyText"/>
        <w:jc w:val="both"/>
        <w:rPr>
          <w:sz w:val="22"/>
        </w:rPr>
      </w:pPr>
      <w:r>
        <w:rPr>
          <w:sz w:val="22"/>
        </w:rPr>
      </w:r>
    </w:p>
    <w:p>
      <w:pPr>
        <w:pStyle w:val="BodyText"/>
        <w:pBdr>
          <w:top w:val="single" w:sz="4" w:space="1" w:color="000000" w:shadow="1"/>
          <w:left w:val="single" w:sz="4" w:space="4" w:color="000000" w:shadow="1"/>
          <w:bottom w:val="single" w:sz="4" w:space="1" w:color="000000" w:shadow="1"/>
          <w:right w:val="single" w:sz="4" w:space="4" w:color="000000" w:shadow="1"/>
        </w:pBdr>
        <w:jc w:val="both"/>
        <w:rPr>
          <w:b/>
          <w:sz w:val="22"/>
        </w:rPr>
      </w:pPr>
      <w:r>
        <w:rPr>
          <w:b/>
          <w:sz w:val="22"/>
        </w:rPr>
        <w:t>Community Relations (40% of overall responsibilities)</w:t>
      </w:r>
    </w:p>
    <w:p>
      <w:pPr>
        <w:pStyle w:val="BodyText"/>
        <w:pBdr>
          <w:top w:val="single" w:sz="4" w:space="1" w:color="000000" w:shadow="1"/>
          <w:left w:val="single" w:sz="4" w:space="4" w:color="000000" w:shadow="1"/>
          <w:bottom w:val="single" w:sz="4" w:space="1" w:color="000000" w:shadow="1"/>
          <w:right w:val="single" w:sz="4" w:space="4" w:color="000000" w:shadow="1"/>
        </w:pBdr>
        <w:jc w:val="both"/>
        <w:rPr>
          <w:b/>
          <w:sz w:val="22"/>
        </w:rPr>
      </w:pPr>
      <w:r>
        <w:rPr>
          <w:b/>
          <w:sz w:val="22"/>
        </w:rPr>
        <w:t>United Way Campaign</w:t>
      </w:r>
    </w:p>
    <w:p>
      <w:pPr>
        <w:pStyle w:val="BodyText"/>
        <w:jc w:val="both"/>
        <w:rPr>
          <w:b/>
          <w:sz w:val="22"/>
        </w:rPr>
      </w:pPr>
      <w:r>
        <w:rPr>
          <w:b/>
          <w:sz w:val="22"/>
        </w:rPr>
      </w:r>
    </w:p>
    <w:p>
      <w:pPr>
        <w:pStyle w:val="BodyText"/>
        <w:jc w:val="both"/>
        <w:rPr>
          <w:b/>
          <w:sz w:val="22"/>
        </w:rPr>
      </w:pPr>
      <w:r>
        <w:rPr>
          <w:b/>
          <w:sz w:val="22"/>
        </w:rPr>
        <w:t>Approximate breakdown of time commitment:</w:t>
      </w:r>
    </w:p>
    <w:p>
      <w:pPr>
        <w:pStyle w:val="BodyText"/>
        <w:jc w:val="both"/>
        <w:rPr>
          <w:sz w:val="22"/>
        </w:rPr>
      </w:pPr>
      <w:r>
        <w:rPr>
          <w:sz w:val="22"/>
        </w:rPr>
        <w:t>January – May / October – December</w:t>
        <w:tab/>
        <w:t>20%</w:t>
      </w:r>
    </w:p>
    <w:p>
      <w:pPr>
        <w:pStyle w:val="BodyText"/>
        <w:jc w:val="both"/>
        <w:rPr>
          <w:sz w:val="22"/>
        </w:rPr>
      </w:pPr>
      <w:r>
        <w:rPr>
          <w:sz w:val="22"/>
        </w:rPr>
        <w:t>June – September</w:t>
        <w:tab/>
        <w:tab/>
        <w:tab/>
        <w:tab/>
        <w:t>80%</w:t>
      </w:r>
    </w:p>
    <w:p>
      <w:pPr>
        <w:pStyle w:val="BodyText"/>
        <w:jc w:val="both"/>
        <w:rPr>
          <w:sz w:val="22"/>
        </w:rPr>
      </w:pPr>
      <w:r>
        <w:rPr>
          <w:sz w:val="22"/>
        </w:rPr>
        <w:tab/>
        <w:tab/>
        <w:tab/>
      </w:r>
    </w:p>
    <w:p>
      <w:pPr>
        <w:pStyle w:val="BodyText"/>
        <w:numPr>
          <w:ilvl w:val="0"/>
          <w:numId w:val="9"/>
        </w:numPr>
        <w:jc w:val="both"/>
        <w:rPr>
          <w:sz w:val="22"/>
        </w:rPr>
      </w:pPr>
      <w:r>
        <w:rPr>
          <w:sz w:val="22"/>
        </w:rPr>
        <w:t xml:space="preserve">Responsible for Enron’s United Way 2001 Campaign.  Lead the plan, coordination, and implementation of the campaign for 2001.  Work in conjunction with Charla Reese who would be responsible for the actual kick-off event and Day of Caring.  Work with other Enron U.S. locations to coordinate timing and on-line systems for all United Way Campaigns.  Also pilot with at least two international offices to provide coordination for their campaigns.  </w:t>
      </w:r>
    </w:p>
    <w:p>
      <w:pPr>
        <w:pStyle w:val="BodyText"/>
        <w:jc w:val="both"/>
        <w:rPr>
          <w:sz w:val="22"/>
        </w:rPr>
      </w:pPr>
      <w:r>
        <w:rPr>
          <w:sz w:val="22"/>
        </w:rPr>
      </w:r>
    </w:p>
    <w:p>
      <w:pPr>
        <w:pStyle w:val="BodyText"/>
        <w:jc w:val="both"/>
        <w:rPr>
          <w:sz w:val="22"/>
        </w:rPr>
      </w:pPr>
      <w:r>
        <w:rPr>
          <w:sz w:val="22"/>
        </w:rPr>
      </w:r>
    </w:p>
    <w:p>
      <w:pPr>
        <w:pStyle w:val="BodyText"/>
        <w:pBdr>
          <w:top w:val="single" w:sz="4" w:space="1" w:color="000000" w:shadow="1"/>
          <w:left w:val="single" w:sz="4" w:space="4" w:color="000000" w:shadow="1"/>
          <w:bottom w:val="single" w:sz="4" w:space="1" w:color="000000" w:shadow="1"/>
          <w:right w:val="single" w:sz="4" w:space="4" w:color="000000" w:shadow="1"/>
        </w:pBdr>
        <w:jc w:val="both"/>
        <w:rPr>
          <w:b/>
          <w:sz w:val="22"/>
        </w:rPr>
      </w:pPr>
      <w:r>
        <w:rPr>
          <w:b/>
          <w:sz w:val="22"/>
        </w:rPr>
        <w:t>Government Affairs (60% of overall responsibilities)</w:t>
      </w:r>
    </w:p>
    <w:p>
      <w:pPr>
        <w:pStyle w:val="BodyText"/>
        <w:pBdr>
          <w:top w:val="single" w:sz="4" w:space="1" w:color="000000" w:shadow="1"/>
          <w:left w:val="single" w:sz="4" w:space="4" w:color="000000" w:shadow="1"/>
          <w:bottom w:val="single" w:sz="4" w:space="1" w:color="000000" w:shadow="1"/>
          <w:right w:val="single" w:sz="4" w:space="4" w:color="000000" w:shadow="1"/>
        </w:pBdr>
        <w:jc w:val="both"/>
        <w:rPr>
          <w:b/>
          <w:sz w:val="22"/>
        </w:rPr>
      </w:pPr>
      <w:r>
        <w:rPr>
          <w:b/>
          <w:sz w:val="22"/>
        </w:rPr>
        <w:t>Business Liaison</w:t>
      </w:r>
    </w:p>
    <w:p>
      <w:pPr>
        <w:pStyle w:val="BodyText"/>
        <w:jc w:val="both"/>
        <w:rPr>
          <w:b/>
          <w:sz w:val="22"/>
        </w:rPr>
      </w:pPr>
      <w:r>
        <w:rPr>
          <w:b/>
          <w:sz w:val="22"/>
        </w:rPr>
      </w:r>
    </w:p>
    <w:p>
      <w:pPr>
        <w:pStyle w:val="BodyText"/>
        <w:jc w:val="both"/>
        <w:rPr>
          <w:b/>
          <w:sz w:val="22"/>
        </w:rPr>
      </w:pPr>
      <w:r>
        <w:rPr>
          <w:b/>
          <w:sz w:val="22"/>
        </w:rPr>
        <w:t>Approximate breakdown of time commitment:</w:t>
      </w:r>
    </w:p>
    <w:p>
      <w:pPr>
        <w:pStyle w:val="BodyText"/>
        <w:jc w:val="both"/>
        <w:rPr>
          <w:sz w:val="22"/>
        </w:rPr>
      </w:pPr>
      <w:r>
        <w:rPr>
          <w:sz w:val="22"/>
        </w:rPr>
        <w:t>January – May / October - December</w:t>
        <w:tab/>
        <w:t>80%</w:t>
      </w:r>
    </w:p>
    <w:p>
      <w:pPr>
        <w:pStyle w:val="BodyText"/>
        <w:jc w:val="both"/>
        <w:rPr>
          <w:sz w:val="22"/>
        </w:rPr>
      </w:pPr>
      <w:r>
        <w:rPr>
          <w:sz w:val="22"/>
        </w:rPr>
        <w:t>June – September</w:t>
        <w:tab/>
        <w:tab/>
        <w:tab/>
        <w:tab/>
        <w:t>20%</w:t>
      </w:r>
    </w:p>
    <w:p>
      <w:pPr>
        <w:pStyle w:val="BodyText"/>
        <w:jc w:val="both"/>
        <w:rPr>
          <w:sz w:val="22"/>
        </w:rPr>
      </w:pPr>
      <w:r>
        <w:rPr>
          <w:sz w:val="22"/>
        </w:rPr>
      </w:r>
    </w:p>
    <w:p>
      <w:pPr>
        <w:pStyle w:val="BodyText"/>
        <w:numPr>
          <w:ilvl w:val="0"/>
          <w:numId w:val="8"/>
        </w:numPr>
        <w:jc w:val="both"/>
        <w:rPr>
          <w:sz w:val="22"/>
        </w:rPr>
      </w:pPr>
      <w:r>
        <w:rPr>
          <w:sz w:val="22"/>
        </w:rPr>
        <w:t>Serve as Enron’s liaison with business and community leaders, economic development professionals, and government officials with the purpose of fostering relationships, educating them on Enron’s business, and creating potential business opportunities.</w:t>
      </w:r>
    </w:p>
    <w:p>
      <w:pPr>
        <w:pStyle w:val="BodyText"/>
        <w:jc w:val="both"/>
        <w:rPr>
          <w:sz w:val="22"/>
        </w:rPr>
      </w:pPr>
      <w:r>
        <w:rPr>
          <w:sz w:val="22"/>
        </w:rPr>
      </w:r>
    </w:p>
    <w:p>
      <w:pPr>
        <w:pStyle w:val="BodyText"/>
        <w:numPr>
          <w:ilvl w:val="0"/>
          <w:numId w:val="6"/>
        </w:numPr>
        <w:jc w:val="both"/>
        <w:rPr>
          <w:sz w:val="22"/>
        </w:rPr>
      </w:pPr>
      <w:r>
        <w:rPr>
          <w:sz w:val="22"/>
        </w:rPr>
        <w:t>With a company of Enron’s stature, comes an expectation of participation and involvement at the local, state, and national level.  That participation could range from extensive involvement in local coalitions that could have an impact on Enron to continual involvement in economic development organizations that could potentially generate business leads for the company.</w:t>
      </w:r>
    </w:p>
    <w:p>
      <w:pPr>
        <w:pStyle w:val="BodyText"/>
        <w:jc w:val="both"/>
        <w:rPr>
          <w:sz w:val="22"/>
        </w:rPr>
      </w:pPr>
      <w:r>
        <w:rPr>
          <w:sz w:val="22"/>
        </w:rPr>
      </w:r>
    </w:p>
    <w:p>
      <w:pPr>
        <w:pStyle w:val="BodyText"/>
        <w:numPr>
          <w:ilvl w:val="0"/>
          <w:numId w:val="7"/>
        </w:numPr>
        <w:jc w:val="both"/>
        <w:rPr>
          <w:sz w:val="22"/>
        </w:rPr>
      </w:pPr>
      <w:r>
        <w:rPr>
          <w:sz w:val="22"/>
        </w:rPr>
        <w:t>Currently, there are several initiatives that Enron has some level of involvement in.   These initiatives are business and community issues that are important to Enron.  The involvement could include membership, monitoring the developments of the issues, to participating on relative legislative issues.  This position would not be limited to these initiatives, but would also be involved in any others that arise and are of key concern or interest to Enron.</w:t>
      </w:r>
    </w:p>
    <w:p>
      <w:pPr>
        <w:pStyle w:val="BodyText"/>
        <w:jc w:val="both"/>
        <w:rPr>
          <w:b/>
          <w:sz w:val="22"/>
        </w:rPr>
      </w:pPr>
      <w:r>
        <w:rPr>
          <w:b/>
          <w:sz w:val="22"/>
        </w:rPr>
      </w:r>
    </w:p>
    <w:p>
      <w:pPr>
        <w:pStyle w:val="BodyText"/>
        <w:numPr>
          <w:ilvl w:val="0"/>
          <w:numId w:val="10"/>
        </w:numPr>
        <w:tabs>
          <w:tab w:val="left" w:pos="720" w:leader="none"/>
        </w:tabs>
        <w:ind w:hanging="360" w:start="720" w:end="0"/>
        <w:jc w:val="both"/>
        <w:rPr>
          <w:sz w:val="22"/>
        </w:rPr>
      </w:pPr>
      <w:r>
        <w:rPr>
          <w:b/>
          <w:sz w:val="22"/>
        </w:rPr>
        <w:t>Business Coalition for Clean Air (BCCA)</w:t>
      </w:r>
      <w:r>
        <w:rPr>
          <w:sz w:val="22"/>
        </w:rPr>
        <w:t xml:space="preserve"> – Jean Ryall initially asked if I would attend meetings and monitor the developments of this issue.  Waiting for BCCA information to be forwarded by Jean.</w:t>
      </w:r>
    </w:p>
    <w:p>
      <w:pPr>
        <w:pStyle w:val="BodyText"/>
        <w:numPr>
          <w:ilvl w:val="0"/>
          <w:numId w:val="10"/>
        </w:numPr>
        <w:tabs>
          <w:tab w:val="left" w:pos="720" w:leader="none"/>
        </w:tabs>
        <w:ind w:hanging="360" w:start="720" w:end="0"/>
        <w:jc w:val="both"/>
        <w:rPr>
          <w:sz w:val="22"/>
        </w:rPr>
      </w:pPr>
      <w:r>
        <w:rPr>
          <w:b/>
          <w:sz w:val="22"/>
        </w:rPr>
        <w:t>Making Main Street Happen/Main Street Coalition</w:t>
      </w:r>
      <w:r>
        <w:rPr>
          <w:sz w:val="22"/>
        </w:rPr>
        <w:t xml:space="preserve"> – Was asked by Terrie James (currently on the board of Making Main Street Happen) to be involved.  Attended a board meeting in her place and was asked by several members to stay involved considering my background and experience in economic development.</w:t>
      </w:r>
    </w:p>
    <w:p>
      <w:pPr>
        <w:pStyle w:val="BodyText"/>
        <w:ind w:start="360" w:end="0"/>
        <w:jc w:val="both"/>
        <w:rPr>
          <w:sz w:val="22"/>
        </w:rPr>
      </w:pPr>
      <w:r>
        <w:rPr>
          <w:sz w:val="22"/>
        </w:rPr>
      </w:r>
    </w:p>
    <w:p>
      <w:pPr>
        <w:pStyle w:val="BodyText"/>
        <w:numPr>
          <w:ilvl w:val="0"/>
          <w:numId w:val="10"/>
        </w:numPr>
        <w:tabs>
          <w:tab w:val="left" w:pos="720" w:leader="none"/>
        </w:tabs>
        <w:ind w:hanging="360" w:start="720" w:end="0"/>
        <w:jc w:val="both"/>
        <w:rPr>
          <w:b/>
          <w:sz w:val="22"/>
        </w:rPr>
      </w:pPr>
      <w:r>
        <w:rPr>
          <w:b/>
          <w:sz w:val="22"/>
        </w:rPr>
        <w:t xml:space="preserve">Southeast Texas BioTechnolgy Park Coalition – </w:t>
      </w:r>
      <w:r>
        <w:rPr>
          <w:sz w:val="22"/>
        </w:rPr>
        <w:t>Enron recently became a  member of the coalition.  I have attended the initial meeting as well as make a trip to Austin to visit legislators briefing them on the project and the benefit to not only the Greater Houston Area, but the entire state as well.  My relationships with members of the legislature has been key to making these contacts.  (They seem to welcome and appreciate Enron’s involvement on these business/economic development issues that are separate from deregulation)</w:t>
      </w:r>
    </w:p>
    <w:p>
      <w:pPr>
        <w:pStyle w:val="BodyText"/>
        <w:ind w:start="360" w:end="0"/>
        <w:jc w:val="both"/>
        <w:rPr>
          <w:b/>
          <w:sz w:val="22"/>
        </w:rPr>
      </w:pPr>
      <w:r>
        <w:rPr>
          <w:b/>
          <w:sz w:val="22"/>
        </w:rPr>
      </w:r>
    </w:p>
    <w:p>
      <w:pPr>
        <w:pStyle w:val="BodyText"/>
        <w:numPr>
          <w:ilvl w:val="0"/>
          <w:numId w:val="10"/>
        </w:numPr>
        <w:tabs>
          <w:tab w:val="left" w:pos="720" w:leader="none"/>
        </w:tabs>
        <w:ind w:hanging="360" w:start="720" w:end="0"/>
        <w:jc w:val="both"/>
        <w:rPr>
          <w:b/>
          <w:sz w:val="22"/>
        </w:rPr>
      </w:pPr>
      <w:r>
        <w:rPr>
          <w:b/>
          <w:sz w:val="22"/>
        </w:rPr>
        <w:t>Greater Houston Partnership</w:t>
      </w:r>
      <w:r>
        <w:rPr>
          <w:sz w:val="22"/>
        </w:rPr>
        <w:t xml:space="preserve"> – Have been accepted to serve on the Economic Development Advisory Committee.  This is in response to the committee preference sheet forwarded from Steve Kean’s office.  I had a lunch meeting with Pam Lovett, President Economic Development Division, and she was excited about me and Enron being a part of this committee (I have worked with Pam over the past three years on issues relating to economic development).  She also asked if I would be interested in serving on a special committee that would be marketing Houston, Market Houston.</w:t>
      </w:r>
    </w:p>
    <w:p>
      <w:pPr>
        <w:pStyle w:val="BodyText"/>
        <w:ind w:start="360" w:end="0"/>
        <w:jc w:val="both"/>
        <w:rPr>
          <w:b/>
          <w:sz w:val="22"/>
        </w:rPr>
      </w:pPr>
      <w:r>
        <w:rPr>
          <w:b/>
          <w:sz w:val="22"/>
        </w:rPr>
      </w:r>
    </w:p>
    <w:p>
      <w:pPr>
        <w:pStyle w:val="BodyText"/>
        <w:numPr>
          <w:ilvl w:val="0"/>
          <w:numId w:val="10"/>
        </w:numPr>
        <w:tabs>
          <w:tab w:val="left" w:pos="720" w:leader="none"/>
        </w:tabs>
        <w:ind w:hanging="360" w:start="720" w:end="0"/>
        <w:jc w:val="both"/>
        <w:rPr>
          <w:b/>
          <w:sz w:val="22"/>
        </w:rPr>
      </w:pPr>
      <w:r>
        <w:rPr>
          <w:b/>
          <w:sz w:val="22"/>
        </w:rPr>
        <w:t>EBS Legislative Assistance</w:t>
      </w:r>
      <w:r>
        <w:rPr>
          <w:sz w:val="22"/>
        </w:rPr>
        <w:t xml:space="preserve"> – After an informal discussion with Scott Bolton, Director, Government &amp; Regulatory Affairs for EBS, he indicated their need for possible assistance on EBS issues in Texas.  While this is preliminary, he believed with my experience and relationships in Texas, this could be a good fit.</w:t>
      </w:r>
    </w:p>
    <w:p>
      <w:pPr>
        <w:pStyle w:val="BodyText"/>
        <w:ind w:start="360" w:end="0"/>
        <w:jc w:val="both"/>
        <w:rPr>
          <w:b/>
          <w:sz w:val="22"/>
        </w:rPr>
      </w:pPr>
      <w:r>
        <w:rPr>
          <w:b/>
          <w:sz w:val="22"/>
        </w:rPr>
      </w:r>
    </w:p>
    <w:p>
      <w:pPr>
        <w:pStyle w:val="BodyText"/>
        <w:numPr>
          <w:ilvl w:val="0"/>
          <w:numId w:val="10"/>
        </w:numPr>
        <w:tabs>
          <w:tab w:val="left" w:pos="720" w:leader="none"/>
        </w:tabs>
        <w:ind w:hanging="360" w:start="720" w:end="0"/>
        <w:jc w:val="both"/>
        <w:rPr>
          <w:b/>
          <w:sz w:val="22"/>
        </w:rPr>
      </w:pPr>
      <w:r>
        <w:rPr>
          <w:b/>
          <w:sz w:val="22"/>
        </w:rPr>
        <w:t>Center for Houston’s Future</w:t>
      </w:r>
      <w:r>
        <w:rPr>
          <w:sz w:val="22"/>
        </w:rPr>
        <w:t xml:space="preserve"> – Ken Lay is on the Board, but someone needs to be involved in the implementation of the plan.</w:t>
      </w:r>
    </w:p>
    <w:p>
      <w:pPr>
        <w:pStyle w:val="BodyText"/>
        <w:jc w:val="both"/>
        <w:rPr>
          <w:b/>
          <w:sz w:val="22"/>
        </w:rPr>
      </w:pPr>
      <w:r>
        <w:rPr>
          <w:b/>
          <w:sz w:val="22"/>
        </w:rPr>
      </w:r>
    </w:p>
    <w:p>
      <w:pPr>
        <w:pStyle w:val="BodyText"/>
        <w:jc w:val="both"/>
        <w:rPr>
          <w:b/>
          <w:sz w:val="22"/>
        </w:rPr>
      </w:pPr>
      <w:r>
        <w:rPr>
          <w:b/>
          <w:sz w:val="22"/>
        </w:rPr>
      </w:r>
    </w:p>
    <w:p>
      <w:pPr>
        <w:pStyle w:val="BodyText"/>
        <w:numPr>
          <w:ilvl w:val="0"/>
          <w:numId w:val="5"/>
        </w:numPr>
        <w:jc w:val="both"/>
        <w:rPr>
          <w:sz w:val="22"/>
        </w:rPr>
      </w:pPr>
      <w:r>
        <w:rPr>
          <w:sz w:val="22"/>
        </w:rPr>
        <w:t>Continue to build on momentum generated in past legislative sessions while working with key members on economic development issues.  Maintaining these key relationships can assist Enron’s legislative efforts in Austin.</w:t>
      </w:r>
    </w:p>
    <w:p>
      <w:pPr>
        <w:pStyle w:val="BodyText"/>
        <w:jc w:val="both"/>
        <w:rPr>
          <w:sz w:val="22"/>
        </w:rPr>
      </w:pPr>
      <w:r>
        <w:rPr>
          <w:sz w:val="22"/>
        </w:rPr>
      </w:r>
    </w:p>
    <w:p>
      <w:pPr>
        <w:pStyle w:val="BodyText"/>
        <w:ind w:start="360" w:end="0"/>
        <w:jc w:val="both"/>
        <w:rPr>
          <w:sz w:val="22"/>
        </w:rPr>
      </w:pPr>
      <w:r>
        <w:rPr>
          <w:sz w:val="22"/>
        </w:rPr>
        <w:t>Enron’s current participation of significance that I have participated in for a number of years is the following annual event:</w:t>
      </w:r>
    </w:p>
    <w:p>
      <w:pPr>
        <w:pStyle w:val="BodyText"/>
        <w:ind w:start="360" w:end="0"/>
        <w:jc w:val="both"/>
        <w:rPr>
          <w:sz w:val="22"/>
        </w:rPr>
      </w:pPr>
      <w:r>
        <w:rPr>
          <w:sz w:val="22"/>
        </w:rPr>
      </w:r>
    </w:p>
    <w:p>
      <w:pPr>
        <w:pStyle w:val="BodyText"/>
        <w:numPr>
          <w:ilvl w:val="0"/>
          <w:numId w:val="2"/>
        </w:numPr>
        <w:tabs>
          <w:tab w:val="left" w:pos="720" w:leader="none"/>
        </w:tabs>
        <w:ind w:hanging="360" w:start="720" w:end="0"/>
        <w:jc w:val="both"/>
        <w:rPr>
          <w:sz w:val="22"/>
        </w:rPr>
      </w:pPr>
      <w:r>
        <w:rPr>
          <w:b/>
          <w:sz w:val="22"/>
        </w:rPr>
        <w:t xml:space="preserve">Texas Legislative Conference </w:t>
      </w:r>
      <w:r>
        <w:rPr>
          <w:sz w:val="22"/>
        </w:rPr>
        <w:t>– Enron is one of six co-sponsors (2</w:t>
      </w:r>
      <w:r>
        <w:rPr>
          <w:sz w:val="22"/>
          <w:vertAlign w:val="superscript"/>
        </w:rPr>
        <w:t>nd</w:t>
      </w:r>
      <w:r>
        <w:rPr>
          <w:sz w:val="22"/>
        </w:rPr>
        <w:t xml:space="preserve"> year).  Jeff Skilling is a member of the Advisory Committee and I have served as the representative of the arrangements committee.</w:t>
      </w:r>
    </w:p>
    <w:p>
      <w:pPr>
        <w:pStyle w:val="BodyText"/>
        <w:jc w:val="both"/>
        <w:rPr>
          <w:sz w:val="22"/>
        </w:rPr>
      </w:pPr>
      <w:r>
        <w:rPr>
          <w:sz w:val="22"/>
        </w:rPr>
      </w:r>
    </w:p>
    <w:p>
      <w:pPr>
        <w:pStyle w:val="BodyText"/>
        <w:numPr>
          <w:ilvl w:val="0"/>
          <w:numId w:val="3"/>
        </w:numPr>
        <w:jc w:val="both"/>
        <w:rPr>
          <w:sz w:val="22"/>
        </w:rPr>
      </w:pPr>
      <w:r>
        <w:rPr>
          <w:sz w:val="22"/>
        </w:rPr>
        <w:t>Continue to coordinate and direct economic development efforts by managing relationships with local, regional, and state organizations.   By doing this, we will reach a broad network of economic development professionals who can have an influence on such issues as who an electric provider is going to be, thus facilitating new business opportunities for Enron.</w:t>
      </w:r>
    </w:p>
    <w:p>
      <w:pPr>
        <w:pStyle w:val="BodyText"/>
        <w:jc w:val="both"/>
        <w:rPr>
          <w:b/>
          <w:sz w:val="22"/>
        </w:rPr>
      </w:pPr>
      <w:r>
        <w:rPr>
          <w:b/>
          <w:sz w:val="22"/>
        </w:rPr>
      </w:r>
    </w:p>
    <w:p>
      <w:pPr>
        <w:pStyle w:val="BodyText"/>
        <w:ind w:start="360" w:end="0"/>
        <w:jc w:val="both"/>
        <w:rPr>
          <w:sz w:val="22"/>
        </w:rPr>
      </w:pPr>
      <w:r>
        <w:rPr>
          <w:sz w:val="22"/>
        </w:rPr>
        <w:t>Enron’s current participation of significance that I have participated in for a number of years is in the following organizations:</w:t>
      </w:r>
    </w:p>
    <w:p>
      <w:pPr>
        <w:pStyle w:val="BodyText"/>
        <w:ind w:start="360" w:end="0"/>
        <w:jc w:val="both"/>
        <w:rPr>
          <w:sz w:val="22"/>
        </w:rPr>
      </w:pPr>
      <w:r>
        <w:rPr>
          <w:sz w:val="22"/>
        </w:rPr>
      </w:r>
    </w:p>
    <w:p>
      <w:pPr>
        <w:pStyle w:val="BodyText"/>
        <w:numPr>
          <w:ilvl w:val="0"/>
          <w:numId w:val="4"/>
        </w:numPr>
        <w:tabs>
          <w:tab w:val="left" w:pos="720" w:leader="none"/>
        </w:tabs>
        <w:ind w:hanging="360" w:start="720" w:end="0"/>
        <w:jc w:val="both"/>
        <w:rPr>
          <w:b/>
          <w:sz w:val="22"/>
        </w:rPr>
      </w:pPr>
      <w:r>
        <w:rPr>
          <w:b/>
          <w:sz w:val="22"/>
        </w:rPr>
        <w:t xml:space="preserve">Texas Economic Development Council – </w:t>
      </w:r>
      <w:r>
        <w:rPr>
          <w:sz w:val="22"/>
        </w:rPr>
        <w:t xml:space="preserve">TEDC is an Austin-based, state-wide professional association dedicated tot he development of economic and employment opportunities in Texas.  Am serving as Past Chair of TEDC.  Enron has been very visible in the organization and across the state for the past several years.  Served as Chair during the 1999 Legislative Session and a great deal of time in Austin working with the Legislature on economic development issues.  Have also been a long-time member of the Texas Marketing Team which is a group comprised of 50 member organizations whose purpose is to promote Texas as a place to do business.                     </w:t>
      </w:r>
    </w:p>
    <w:p>
      <w:pPr>
        <w:pStyle w:val="BodyText"/>
        <w:ind w:start="360" w:end="0"/>
        <w:jc w:val="both"/>
        <w:rPr>
          <w:b/>
          <w:sz w:val="22"/>
        </w:rPr>
      </w:pPr>
      <w:r>
        <w:rPr>
          <w:b/>
          <w:sz w:val="22"/>
        </w:rPr>
      </w:r>
    </w:p>
    <w:p>
      <w:pPr>
        <w:pStyle w:val="BodyText"/>
        <w:numPr>
          <w:ilvl w:val="0"/>
          <w:numId w:val="4"/>
        </w:numPr>
        <w:tabs>
          <w:tab w:val="left" w:pos="720" w:leader="none"/>
        </w:tabs>
        <w:ind w:hanging="360" w:start="720" w:end="0"/>
        <w:jc w:val="both"/>
        <w:rPr>
          <w:sz w:val="22"/>
        </w:rPr>
      </w:pPr>
      <w:r>
        <w:rPr>
          <w:b/>
          <w:sz w:val="22"/>
        </w:rPr>
        <w:t xml:space="preserve">International Development Research Council </w:t>
      </w:r>
      <w:r>
        <w:rPr>
          <w:sz w:val="22"/>
        </w:rPr>
        <w:t>– IDRC is a professional worldwide association for managers of corporate assets including corporate real estate, facilities, information technology, human resources, finance and other support units that define corporate infrastructure.  Have been a member for approximately 10 years.  With this tenure, have close relationships with corporate executives, financial services companies, and economic development entities across the country.</w:t>
      </w:r>
    </w:p>
    <w:p>
      <w:pPr>
        <w:pStyle w:val="BodyText"/>
        <w:jc w:val="both"/>
        <w:rPr>
          <w:sz w:val="22"/>
        </w:rPr>
      </w:pPr>
      <w:r>
        <w:rPr>
          <w:sz w:val="22"/>
        </w:rPr>
      </w:r>
    </w:p>
    <w:p>
      <w:pPr>
        <w:pStyle w:val="BodyText"/>
        <w:jc w:val="both"/>
        <w:rPr>
          <w:b/>
          <w:sz w:val="22"/>
        </w:rPr>
      </w:pPr>
      <w:r>
        <w:rPr>
          <w:b/>
          <w:sz w:val="22"/>
        </w:rPr>
      </w:r>
    </w:p>
    <w:p>
      <w:pPr>
        <w:pStyle w:val="BodyText"/>
        <w:jc w:val="both"/>
        <w:rPr>
          <w:b/>
          <w:sz w:val="22"/>
        </w:rPr>
      </w:pPr>
      <w:r>
        <w:rPr>
          <w:b/>
          <w:sz w:val="22"/>
        </w:rPr>
      </w:r>
    </w:p>
    <w:p>
      <w:pPr>
        <w:pStyle w:val="BodyText"/>
        <w:jc w:val="both"/>
        <w:rPr>
          <w:b/>
          <w:sz w:val="22"/>
        </w:rPr>
      </w:pPr>
      <w:r>
        <w:rPr>
          <w:b/>
          <w:sz w:val="22"/>
        </w:rPr>
      </w:r>
    </w:p>
    <w:p>
      <w:pPr>
        <w:pStyle w:val="BodyText"/>
        <w:pBdr>
          <w:top w:val="single" w:sz="4" w:space="1" w:color="000000" w:shadow="1"/>
          <w:left w:val="single" w:sz="4" w:space="4" w:color="000000" w:shadow="1"/>
          <w:bottom w:val="single" w:sz="4" w:space="1" w:color="000000" w:shadow="1"/>
          <w:right w:val="single" w:sz="4" w:space="4" w:color="000000" w:shadow="1"/>
        </w:pBdr>
        <w:jc w:val="both"/>
        <w:rPr>
          <w:b/>
          <w:sz w:val="22"/>
        </w:rPr>
      </w:pPr>
      <w:r>
        <w:rPr>
          <w:b/>
          <w:sz w:val="22"/>
        </w:rPr>
      </w:r>
    </w:p>
    <w:p>
      <w:pPr>
        <w:pStyle w:val="BodyText"/>
        <w:pBdr>
          <w:top w:val="single" w:sz="4" w:space="1" w:color="000000" w:shadow="1"/>
          <w:left w:val="single" w:sz="4" w:space="4" w:color="000000" w:shadow="1"/>
          <w:bottom w:val="single" w:sz="4" w:space="1" w:color="000000" w:shadow="1"/>
          <w:right w:val="single" w:sz="4" w:space="4" w:color="000000" w:shadow="1"/>
        </w:pBdr>
        <w:jc w:val="both"/>
        <w:rPr>
          <w:b/>
        </w:rPr>
      </w:pPr>
      <w:r>
        <w:rPr>
          <w:b/>
        </w:rPr>
        <w:t>PROPOSED BUDGET</w:t>
      </w:r>
    </w:p>
    <w:p>
      <w:pPr>
        <w:pStyle w:val="BodyText"/>
        <w:jc w:val="both"/>
        <w:rPr>
          <w:b/>
        </w:rPr>
      </w:pPr>
      <w:r>
        <w:rPr>
          <w:b/>
        </w:rPr>
      </w:r>
    </w:p>
    <w:p>
      <w:pPr>
        <w:pStyle w:val="BodyText"/>
        <w:jc w:val="both"/>
        <w:rPr/>
      </w:pPr>
      <w:r>
        <w:rPr/>
        <w:tab/>
        <w:tab/>
        <w:tab/>
        <w:tab/>
      </w:r>
      <w:r>
        <w:rPr>
          <w:b/>
          <w:u w:val="single"/>
        </w:rPr>
        <w:t>Governmental Affairs</w:t>
      </w:r>
      <w:r>
        <w:rPr/>
        <w:tab/>
      </w:r>
      <w:r>
        <w:rPr>
          <w:b/>
          <w:u w:val="single"/>
        </w:rPr>
        <w:t>Community Relations</w:t>
      </w:r>
    </w:p>
    <w:p>
      <w:pPr>
        <w:pStyle w:val="BodyText"/>
        <w:jc w:val="both"/>
        <w:rPr/>
      </w:pPr>
      <w:r>
        <w:rPr/>
      </w:r>
    </w:p>
    <w:p>
      <w:pPr>
        <w:pStyle w:val="BodyText"/>
        <w:jc w:val="both"/>
        <w:rPr/>
      </w:pPr>
      <w:r>
        <w:rPr/>
        <w:t>Salary</w:t>
        <w:tab/>
        <w:tab/>
        <w:tab/>
        <w:tab/>
        <w:t>$55,200</w:t>
        <w:tab/>
        <w:tab/>
        <w:tab/>
        <w:t>$36,800</w:t>
      </w:r>
    </w:p>
    <w:p>
      <w:pPr>
        <w:pStyle w:val="BodyText"/>
        <w:jc w:val="both"/>
        <w:rPr/>
      </w:pPr>
      <w:r>
        <w:rPr/>
      </w:r>
    </w:p>
    <w:p>
      <w:pPr>
        <w:pStyle w:val="BodyText"/>
        <w:jc w:val="both"/>
        <w:rPr/>
      </w:pPr>
      <w:r>
        <w:rPr/>
        <w:t>Sponsorships</w:t>
        <w:tab/>
        <w:tab/>
        <w:t>$10,000</w:t>
        <w:tab/>
        <w:tab/>
        <w:tab/>
      </w:r>
    </w:p>
    <w:p>
      <w:pPr>
        <w:pStyle w:val="BodyText"/>
        <w:jc w:val="both"/>
        <w:rPr/>
      </w:pPr>
      <w:r>
        <w:rPr/>
      </w:r>
    </w:p>
    <w:p>
      <w:pPr>
        <w:pStyle w:val="BodyText"/>
        <w:jc w:val="both"/>
        <w:rPr/>
      </w:pPr>
      <w:r>
        <w:rPr/>
        <w:t>Memberships</w:t>
        <w:tab/>
        <w:tab/>
        <w:t>$  3,000</w:t>
      </w:r>
    </w:p>
    <w:p>
      <w:pPr>
        <w:pStyle w:val="BodyText"/>
        <w:jc w:val="both"/>
        <w:rPr/>
      </w:pPr>
      <w:r>
        <w:rPr/>
      </w:r>
    </w:p>
    <w:p>
      <w:pPr>
        <w:pStyle w:val="BodyText"/>
        <w:jc w:val="both"/>
        <w:rPr>
          <w:u w:val="single"/>
        </w:rPr>
      </w:pPr>
      <w:r>
        <w:rPr>
          <w:u w:val="single"/>
        </w:rPr>
        <w:t>Travel</w:t>
        <w:tab/>
        <w:tab/>
        <w:tab/>
        <w:tab/>
        <w:t>$  8,000</w:t>
        <w:tab/>
        <w:tab/>
        <w:tab/>
        <w:tab/>
        <w:tab/>
        <w:tab/>
        <w:t>___</w:t>
      </w:r>
    </w:p>
    <w:p>
      <w:pPr>
        <w:pStyle w:val="BodyText"/>
        <w:jc w:val="both"/>
        <w:rPr>
          <w:u w:val="single"/>
        </w:rPr>
      </w:pPr>
      <w:r>
        <w:rPr>
          <w:u w:val="single"/>
        </w:rPr>
      </w:r>
    </w:p>
    <w:p>
      <w:pPr>
        <w:pStyle w:val="BodyText"/>
        <w:jc w:val="both"/>
        <w:rPr>
          <w:b/>
        </w:rPr>
      </w:pPr>
      <w:r>
        <w:rPr>
          <w:b/>
        </w:rPr>
        <w:t>Total</w:t>
        <w:tab/>
        <w:tab/>
        <w:tab/>
        <w:tab/>
        <w:t>$76,200</w:t>
        <w:tab/>
        <w:tab/>
        <w:tab/>
        <w:t>$36,800</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2"/>
        </w:rPr>
      </w:pPr>
      <w:r>
        <w:rPr>
          <w:rFonts w:cs="Arial" w:ascii="Arial" w:hAnsi="Arial"/>
          <w:b/>
          <w:sz w:val="22"/>
        </w:rPr>
      </w:r>
    </w:p>
    <w:p>
      <w:pPr>
        <w:pStyle w:val="Heading1"/>
        <w:ind w:hanging="0" w:start="0"/>
        <w:rPr>
          <w:rFonts w:ascii="Arial" w:hAnsi="Arial" w:cs="Arial"/>
          <w:b w:val="false"/>
          <w:sz w:val="28"/>
        </w:rPr>
      </w:pPr>
      <w:r>
        <w:rPr>
          <w:rFonts w:cs="Arial"/>
          <w:b w:val="false"/>
          <w:sz w:val="28"/>
        </w:rPr>
      </w:r>
    </w:p>
    <w:p>
      <w:pPr>
        <w:pStyle w:val="Heading1"/>
        <w:ind w:hanging="0" w:start="0"/>
        <w:rPr>
          <w:sz w:val="28"/>
        </w:rPr>
      </w:pPr>
      <w:r>
        <w:rPr>
          <w:sz w:val="28"/>
        </w:rPr>
      </w:r>
    </w:p>
    <w:sectPr>
      <w:type w:val="nextPage"/>
      <w:pgSz w:w="12240" w:h="15840"/>
      <w:pgMar w:left="1584" w:right="1584"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b/>
      <w:sz w:val="22"/>
    </w:rPr>
  </w:style>
  <w:style w:type="paragraph" w:styleId="Heading2">
    <w:name w:val="heading 2"/>
    <w:basedOn w:val="Normal"/>
    <w:next w:val="Normal"/>
    <w:qFormat/>
    <w:pPr>
      <w:keepNext w:val="true"/>
      <w:numPr>
        <w:ilvl w:val="1"/>
        <w:numId w:val="1"/>
      </w:numPr>
      <w:jc w:val="center"/>
      <w:outlineLvl w:val="1"/>
    </w:pPr>
    <w:rPr>
      <w:rFonts w:ascii="Arial" w:hAnsi="Arial" w:cs="Arial"/>
      <w:sz w:val="24"/>
    </w:rPr>
  </w:style>
  <w:style w:type="character" w:styleId="WW8Num1z0">
    <w:name w:val="WW8Num1z0"/>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b/>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2001-02-08T14:11:00Z</dcterms:created>
  <dc:creator>kathy mayfield</dc:creator>
  <dc:description/>
  <dc:language>en-CA</dc:language>
  <cp:lastModifiedBy>kathy mayfield</cp:lastModifiedBy>
  <cp:lastPrinted>2001-02-08T11:44:00Z</cp:lastPrinted>
  <dcterms:modified xsi:type="dcterms:W3CDTF">2001-02-08T18:40:00Z</dcterms:modified>
  <cp:revision>17</cp:revision>
  <dc:subject/>
  <dc:title>KATHY MAYFIELD</dc:title>
</cp:coreProperties>
</file>