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5040" w:end="0"/>
        <w:jc w:val="center"/>
        <w:rPr/>
      </w:pPr>
      <w:r>
        <w:rPr/>
        <w:drawing>
          <wp:inline distT="0" distB="0" distL="0" distR="0">
            <wp:extent cx="1208405" cy="5029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97" t="-159" r="-597" b="-159"/>
                    <a:stretch>
                      <a:fillRect/>
                    </a:stretch>
                  </pic:blipFill>
                  <pic:spPr bwMode="auto">
                    <a:xfrm>
                      <a:off x="0" y="0"/>
                      <a:ext cx="1208405" cy="502920"/>
                    </a:xfrm>
                    <a:prstGeom prst="rect">
                      <a:avLst/>
                    </a:prstGeom>
                    <a:noFill/>
                  </pic:spPr>
                </pic:pic>
              </a:graphicData>
            </a:graphic>
          </wp:inline>
        </w:drawing>
      </w:r>
      <w:r>
        <w:rPr/>
        <w:t xml:space="preserve">        </w:t>
      </w:r>
    </w:p>
    <w:p>
      <w:pPr>
        <w:pStyle w:val="Normal"/>
        <w:jc w:val="both"/>
        <w:rPr/>
      </w:pPr>
      <w:r>
        <w:rPr/>
      </w:r>
    </w:p>
    <w:p>
      <w:pPr>
        <w:pStyle w:val="Normal"/>
        <w:rPr>
          <w:sz w:val="14"/>
        </w:rPr>
      </w:pPr>
      <w:r>
        <w:rPr>
          <w:sz w:val="14"/>
        </w:rPr>
      </w:r>
    </w:p>
    <w:p>
      <w:pPr>
        <w:pStyle w:val="Normal"/>
        <w:rPr>
          <w:sz w:val="14"/>
        </w:rPr>
      </w:pPr>
      <w:r>
        <w:rPr>
          <w:sz w:val="14"/>
        </w:rPr>
      </w:r>
    </w:p>
    <w:p>
      <w:pPr>
        <w:pStyle w:val="Normal"/>
        <w:rPr/>
      </w:pPr>
      <w:r>
        <w:rPr>
          <w:b/>
          <w:sz w:val="16"/>
        </w:rPr>
        <w:t>MARK C. MOENCH</w:t>
      </w:r>
      <w:r>
        <w:rPr>
          <w:sz w:val="16"/>
        </w:rPr>
        <w:t xml:space="preserve">                                                                                                                                       P.O. BOX 58900</w:t>
      </w:r>
    </w:p>
    <w:p>
      <w:pPr>
        <w:pStyle w:val="Normal"/>
        <w:rPr>
          <w:sz w:val="16"/>
        </w:rPr>
      </w:pPr>
      <w:r>
        <w:rPr>
          <w:sz w:val="16"/>
        </w:rPr>
        <w:t xml:space="preserve">SENIOR COUNSEL                                                                                                                          </w:t>
        <w:tab/>
        <w:t xml:space="preserve">     SALT LAKE CITY, UT  84158-0900</w:t>
      </w:r>
    </w:p>
    <w:p>
      <w:pPr>
        <w:pStyle w:val="Normal"/>
        <w:rPr>
          <w:sz w:val="16"/>
        </w:rPr>
      </w:pPr>
      <w:r>
        <w:rPr>
          <w:sz w:val="16"/>
        </w:rPr>
        <w:t>WILLIAMS GAS PIPELINES - WEST                                                                                                             Phone:  (801) 584-7059</w:t>
      </w:r>
    </w:p>
    <w:p>
      <w:pPr>
        <w:pStyle w:val="Normal"/>
        <w:rPr>
          <w:sz w:val="16"/>
        </w:rPr>
      </w:pPr>
      <w:r>
        <w:rPr>
          <w:sz w:val="16"/>
        </w:rPr>
        <w:t xml:space="preserve">                                                                                                                                                                              </w:t>
      </w:r>
      <w:r>
        <w:rPr>
          <w:sz w:val="16"/>
        </w:rPr>
        <w:t>FAX:    (801) 584-7919</w:t>
      </w:r>
    </w:p>
    <w:p>
      <w:pPr>
        <w:pStyle w:val="Normal"/>
        <w:rPr>
          <w:sz w:val="16"/>
        </w:rPr>
      </w:pPr>
      <w:r>
        <w:rPr>
          <w:sz w:val="16"/>
        </w:rPr>
        <w:tab/>
        <w:tab/>
        <w:tab/>
        <w:tab/>
        <w:tab/>
        <w:tab/>
        <w:tab/>
        <w:tab/>
        <w:tab/>
        <w:t xml:space="preserve">     Email:   mark.c.moench@williams.com</w:t>
      </w:r>
    </w:p>
    <w:p>
      <w:pPr>
        <w:pStyle w:val="Normal"/>
        <w:rPr>
          <w:sz w:val="24"/>
        </w:rPr>
      </w:pPr>
      <w:r>
        <w:rPr>
          <w:sz w:val="24"/>
        </w:rPr>
        <w:tab/>
        <w:tab/>
        <w:tab/>
        <w:tab/>
        <w:tab/>
        <w:tab/>
        <w:tab/>
        <w:tab/>
        <w:tab/>
        <w:tab/>
      </w:r>
    </w:p>
    <w:p>
      <w:pPr>
        <w:pStyle w:val="Normal"/>
        <w:jc w:val="center"/>
        <w:rPr>
          <w:sz w:val="24"/>
        </w:rPr>
      </w:pPr>
      <w:r>
        <w:rPr>
          <w:sz w:val="24"/>
        </w:rPr>
      </w:r>
    </w:p>
    <w:p>
      <w:pPr>
        <w:pStyle w:val="Normal"/>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t>Honorable Andrea L. Biren</w:t>
      </w:r>
    </w:p>
    <w:p>
      <w:pPr>
        <w:pStyle w:val="Normal"/>
        <w:rPr>
          <w:sz w:val="24"/>
        </w:rPr>
      </w:pPr>
      <w:r>
        <w:rPr>
          <w:sz w:val="24"/>
        </w:rPr>
        <w:t>Administrative Law Judge</w:t>
      </w:r>
    </w:p>
    <w:p>
      <w:pPr>
        <w:pStyle w:val="Normal"/>
        <w:rPr>
          <w:sz w:val="24"/>
        </w:rPr>
      </w:pPr>
      <w:r>
        <w:rPr>
          <w:sz w:val="24"/>
        </w:rPr>
        <w:t>Public Utilities Commission</w:t>
      </w:r>
    </w:p>
    <w:p>
      <w:pPr>
        <w:pStyle w:val="Normal"/>
        <w:rPr>
          <w:sz w:val="24"/>
        </w:rPr>
      </w:pPr>
      <w:r>
        <w:rPr>
          <w:sz w:val="24"/>
        </w:rPr>
        <w:t>State of California</w:t>
      </w:r>
    </w:p>
    <w:p>
      <w:pPr>
        <w:pStyle w:val="Normal"/>
        <w:rPr>
          <w:sz w:val="24"/>
        </w:rPr>
      </w:pPr>
      <w:r>
        <w:rPr>
          <w:sz w:val="24"/>
        </w:rPr>
        <w:t>505 Van Ness Avenue</w:t>
      </w:r>
    </w:p>
    <w:p>
      <w:pPr>
        <w:pStyle w:val="Normal"/>
        <w:rPr>
          <w:sz w:val="24"/>
        </w:rPr>
      </w:pPr>
      <w:r>
        <w:rPr>
          <w:sz w:val="24"/>
        </w:rPr>
        <w:t>San Francisco, CA  94102</w:t>
      </w:r>
    </w:p>
    <w:p>
      <w:pPr>
        <w:pStyle w:val="Normal"/>
        <w:rPr>
          <w:sz w:val="24"/>
        </w:rPr>
      </w:pPr>
      <w:r>
        <w:rPr>
          <w:sz w:val="24"/>
        </w:rPr>
      </w:r>
    </w:p>
    <w:p>
      <w:pPr>
        <w:pStyle w:val="Heading1"/>
        <w:ind w:hanging="720" w:start="720" w:end="0"/>
        <w:jc w:val="both"/>
        <w:rPr>
          <w:caps w:val="false"/>
          <w:smallCaps w:val="false"/>
        </w:rPr>
      </w:pPr>
      <w:r>
        <w:rPr/>
        <w:t>RE:</w:t>
        <w:tab/>
        <w:t>Testimony of Kirk t. morgan on behalf of kern river gas transmission company, I99-07-003</w:t>
      </w:r>
    </w:p>
    <w:p>
      <w:pPr>
        <w:pStyle w:val="Normal"/>
        <w:rPr>
          <w:caps/>
        </w:rPr>
      </w:pPr>
      <w:r>
        <w:rPr>
          <w:caps/>
        </w:rPr>
      </w:r>
    </w:p>
    <w:p>
      <w:pPr>
        <w:pStyle w:val="Normal"/>
        <w:rPr>
          <w:sz w:val="24"/>
        </w:rPr>
      </w:pPr>
      <w:r>
        <w:rPr>
          <w:sz w:val="24"/>
        </w:rPr>
        <w:t>Dear Judge Biren:</w:t>
      </w:r>
    </w:p>
    <w:p>
      <w:pPr>
        <w:pStyle w:val="Normal"/>
        <w:rPr>
          <w:sz w:val="24"/>
        </w:rPr>
      </w:pPr>
      <w:r>
        <w:rPr>
          <w:sz w:val="24"/>
        </w:rPr>
      </w:r>
    </w:p>
    <w:p>
      <w:pPr>
        <w:pStyle w:val="Heading1"/>
        <w:ind w:hanging="0" w:start="0"/>
        <w:jc w:val="start"/>
        <w:rPr/>
      </w:pPr>
      <w:r>
        <w:rPr>
          <w:b w:val="false"/>
          <w:caps w:val="false"/>
          <w:smallCaps w:val="false"/>
        </w:rPr>
        <w:tab/>
        <w:t xml:space="preserve">Transmitted herewith to be lodged with you in docket number I99-07-003, is one copy of the </w:t>
      </w:r>
      <w:r>
        <w:rPr>
          <w:caps w:val="false"/>
          <w:smallCaps w:val="false"/>
        </w:rPr>
        <w:t>Testimony of Kirk T. Morgan on behalf of Kern River Gas Transmission Company</w:t>
      </w:r>
      <w:r>
        <w:rPr>
          <w:b w:val="false"/>
          <w:caps w:val="false"/>
          <w:smallCaps w:val="false"/>
        </w:rPr>
        <w:t>.   I have not pre-marked the testimony as I have been unable to ascertain which of the parties not included in one of the settlements will be filing filing testimony.   It is my understanding that those parties supporting</w:t>
      </w:r>
      <w:r>
        <w:rPr>
          <w:b w:val="false"/>
          <w:caps w:val="false"/>
          <w:smallCaps w:val="false"/>
          <w:spacing w:val="0"/>
          <w:lang w:eastAsia="en-CA"/>
        </w:rPr>
        <w:t xml:space="preserve"> the Comprehensive Settlement will be using numbers 1-99 for their testimony and that TURN/SCGC will be using 100-199</w:t>
      </w:r>
      <w:r>
        <w:rPr>
          <w:b w:val="false"/>
          <w:caps w:val="false"/>
          <w:smallCaps w:val="false"/>
        </w:rPr>
        <w:t xml:space="preserve">.  I assume the next series, those not supporting either settlement (as in the case of Kern River) would use 200-299.   Thus if any other testimony is lodged with you in this latter category, you may assign Kern River's testimony any number in the 200-299 range, or I can handle this at the May 25 prehearing conference.  </w:t>
      </w:r>
    </w:p>
    <w:p>
      <w:pPr>
        <w:pStyle w:val="Normal"/>
        <w:rPr>
          <w:b/>
          <w:caps/>
        </w:rPr>
      </w:pPr>
      <w:r>
        <w:rPr>
          <w:b/>
          <w:caps/>
        </w:rPr>
      </w:r>
    </w:p>
    <w:p>
      <w:pPr>
        <w:pStyle w:val="Normal"/>
        <w:rPr/>
      </w:pPr>
      <w:r>
        <w:rPr/>
        <w:tab/>
      </w:r>
      <w:r>
        <w:rPr>
          <w:sz w:val="24"/>
        </w:rPr>
        <w:t>Thank you very much for your attention to this matter.</w:t>
      </w:r>
    </w:p>
    <w:p>
      <w:pPr>
        <w:pStyle w:val="Normal"/>
        <w:rPr>
          <w:sz w:val="24"/>
        </w:rPr>
      </w:pPr>
      <w:r>
        <w:rPr>
          <w:sz w:val="24"/>
        </w:rPr>
      </w:r>
    </w:p>
    <w:p>
      <w:pPr>
        <w:pStyle w:val="Normal"/>
        <w:rPr>
          <w:sz w:val="24"/>
        </w:rPr>
      </w:pPr>
      <w:r>
        <w:rPr>
          <w:sz w:val="24"/>
        </w:rPr>
        <w:tab/>
        <w:tab/>
        <w:tab/>
        <w:tab/>
        <w:tab/>
        <w:tab/>
        <w:t>Sincerely,</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Mark  C. Moench</w:t>
      </w:r>
    </w:p>
    <w:p>
      <w:pPr>
        <w:pStyle w:val="Normal"/>
        <w:rPr>
          <w:sz w:val="24"/>
        </w:rPr>
      </w:pPr>
      <w:r>
        <w:rPr>
          <w:sz w:val="24"/>
        </w:rPr>
        <w:tab/>
        <w:tab/>
        <w:tab/>
        <w:tab/>
        <w:tab/>
        <w:t xml:space="preserve">                 Attorney for</w:t>
      </w:r>
    </w:p>
    <w:p>
      <w:pPr>
        <w:pStyle w:val="Normal"/>
        <w:ind w:firstLine="720" w:start="2160" w:end="0"/>
        <w:rPr>
          <w:sz w:val="24"/>
        </w:rPr>
      </w:pPr>
      <w:r>
        <w:rPr>
          <w:sz w:val="24"/>
        </w:rPr>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t>cc. (w/encl.):</w:t>
        <w:tab/>
        <w:t>All persons on the Commission’s Service List</w:t>
      </w:r>
    </w:p>
    <w:p>
      <w:pPr>
        <w:pStyle w:val="Normal"/>
        <w:rPr>
          <w:sz w:val="24"/>
        </w:rPr>
      </w:pPr>
      <w:r>
        <w:rPr>
          <w:sz w:val="24"/>
        </w:rPr>
        <w:t>Enclosures</w:t>
      </w:r>
    </w:p>
    <w:p>
      <w:pPr>
        <w:pStyle w:val="Normal"/>
        <w:tabs>
          <w:tab w:val="clear" w:pos="720"/>
          <w:tab w:val="center" w:pos="4680" w:leader="none"/>
        </w:tabs>
        <w:suppressAutoHyphens w:val="true"/>
        <w:jc w:val="center"/>
        <w:rPr>
          <w:b/>
          <w:sz w:val="24"/>
        </w:rPr>
      </w:pPr>
      <w:r>
        <w:rPr>
          <w:b/>
          <w:sz w:val="24"/>
        </w:rPr>
        <w:t>BEFORE THE</w:t>
      </w:r>
    </w:p>
    <w:p>
      <w:pPr>
        <w:pStyle w:val="Normal"/>
        <w:tabs>
          <w:tab w:val="clear" w:pos="720"/>
          <w:tab w:val="center" w:pos="4680" w:leader="none"/>
        </w:tabs>
        <w:suppressAutoHyphens w:val="true"/>
        <w:rPr>
          <w:b/>
          <w:sz w:val="24"/>
        </w:rPr>
      </w:pPr>
      <w:r>
        <w:rPr>
          <w:b/>
          <w:sz w:val="24"/>
        </w:rPr>
        <w:tab/>
        <w:t>PUBLIC UTILITIES COMMISSION OF THE STATE OF CALIFORNIA</w:t>
      </w:r>
    </w:p>
    <w:p>
      <w:pPr>
        <w:pStyle w:val="Normal"/>
        <w:tabs>
          <w:tab w:val="clear" w:pos="720"/>
          <w:tab w:val="left" w:pos="-720" w:leader="none"/>
        </w:tabs>
        <w:suppressAutoHyphens w:val="true"/>
        <w:rPr>
          <w:b/>
          <w:sz w:val="24"/>
        </w:rPr>
      </w:pPr>
      <w:r>
        <w:rPr>
          <w:b/>
          <w:sz w:val="24"/>
        </w:rPr>
      </w:r>
    </w:p>
    <w:p>
      <w:pPr>
        <w:pStyle w:val="Normal"/>
        <w:tabs>
          <w:tab w:val="clear" w:pos="720"/>
          <w:tab w:val="left" w:pos="-720" w:leader="none"/>
        </w:tabs>
        <w:suppressAutoHyphens w:val="true"/>
        <w:rPr>
          <w:b/>
          <w:sz w:val="24"/>
        </w:rPr>
      </w:pPr>
      <w:r>
        <w:rPr>
          <w:b/>
          <w:sz w:val="24"/>
        </w:rPr>
      </w:r>
    </w:p>
    <w:p>
      <w:pPr>
        <w:pStyle w:val="Normal"/>
        <w:tabs>
          <w:tab w:val="clear" w:pos="720"/>
          <w:tab w:val="left" w:pos="-720" w:leader="none"/>
        </w:tabs>
        <w:suppressAutoHyphens w:val="true"/>
        <w:rPr>
          <w:sz w:val="24"/>
        </w:rPr>
      </w:pPr>
      <w:r>
        <w:rPr>
          <w:sz w:val="24"/>
        </w:rPr>
        <w:t>Investigation on the Commission's Own Motion to</w:t>
        <w:tab/>
        <w:t>)</w:t>
        <w:tab/>
      </w:r>
    </w:p>
    <w:p>
      <w:pPr>
        <w:pStyle w:val="Normal"/>
        <w:tabs>
          <w:tab w:val="clear" w:pos="720"/>
          <w:tab w:val="left" w:pos="-720" w:leader="none"/>
        </w:tabs>
        <w:suppressAutoHyphens w:val="true"/>
        <w:rPr>
          <w:b/>
          <w:sz w:val="24"/>
        </w:rPr>
      </w:pPr>
      <w:r>
        <w:rPr>
          <w:sz w:val="24"/>
        </w:rPr>
        <w:t xml:space="preserve">Consider the Costs and Benefits of Various </w:t>
        <w:tab/>
        <w:tab/>
        <w:t>)</w:t>
        <w:tab/>
        <w:tab/>
        <w:t>Investigation 99-07-003 Revisions to the Regulatory and Market Structure</w:t>
      </w:r>
      <w:r>
        <w:rPr>
          <w:b/>
          <w:sz w:val="24"/>
        </w:rPr>
        <w:tab/>
      </w:r>
      <w:r>
        <w:rPr>
          <w:sz w:val="24"/>
        </w:rPr>
        <w:t>)</w:t>
      </w:r>
    </w:p>
    <w:p>
      <w:pPr>
        <w:pStyle w:val="Normal"/>
        <w:tabs>
          <w:tab w:val="clear" w:pos="720"/>
          <w:tab w:val="left" w:pos="-720" w:leader="none"/>
        </w:tabs>
        <w:suppressAutoHyphens w:val="true"/>
        <w:rPr>
          <w:b/>
          <w:sz w:val="24"/>
        </w:rPr>
      </w:pPr>
      <w:r>
        <w:rPr>
          <w:sz w:val="24"/>
        </w:rPr>
        <w:t>Governing California's Natural Gas Industry and to   )</w:t>
      </w:r>
    </w:p>
    <w:p>
      <w:pPr>
        <w:pStyle w:val="Normal"/>
        <w:tabs>
          <w:tab w:val="clear" w:pos="720"/>
          <w:tab w:val="left" w:pos="-720" w:leader="none"/>
        </w:tabs>
        <w:suppressAutoHyphens w:val="true"/>
        <w:rPr>
          <w:sz w:val="24"/>
        </w:rPr>
      </w:pPr>
      <w:r>
        <w:rPr>
          <w:sz w:val="24"/>
        </w:rPr>
        <w:t xml:space="preserve">Report to the California Legislature on the </w:t>
        <w:tab/>
        <w:tab/>
        <w:t>)</w:t>
      </w:r>
    </w:p>
    <w:p>
      <w:pPr>
        <w:pStyle w:val="Normal"/>
        <w:tabs>
          <w:tab w:val="clear" w:pos="720"/>
          <w:tab w:val="left" w:pos="-720" w:leader="none"/>
        </w:tabs>
        <w:suppressAutoHyphens w:val="true"/>
        <w:rPr>
          <w:sz w:val="24"/>
        </w:rPr>
      </w:pPr>
      <w:r>
        <w:rPr>
          <w:sz w:val="24"/>
        </w:rPr>
        <w:t>Commission's Findings.</w:t>
        <w:tab/>
        <w:tab/>
        <w:tab/>
        <w:tab/>
        <w:t>)</w:t>
      </w:r>
    </w:p>
    <w:p>
      <w:pPr>
        <w:pStyle w:val="Normal"/>
        <w:tabs>
          <w:tab w:val="clear" w:pos="720"/>
          <w:tab w:val="left" w:pos="-720" w:leader="none"/>
        </w:tabs>
        <w:suppressAutoHyphens w:val="true"/>
        <w:rPr>
          <w:sz w:val="24"/>
        </w:rPr>
      </w:pPr>
      <w:r>
        <w:rPr>
          <w:sz w:val="24"/>
        </w:rPr>
        <w:t>__________________________________________)</w:t>
      </w:r>
    </w:p>
    <w:p>
      <w:pPr>
        <w:pStyle w:val="Normal"/>
        <w:tabs>
          <w:tab w:val="clear" w:pos="720"/>
          <w:tab w:val="left" w:pos="-720" w:leader="none"/>
        </w:tabs>
        <w:suppressAutoHyphens w:val="true"/>
        <w:rPr>
          <w:sz w:val="24"/>
        </w:rPr>
      </w:pPr>
      <w:r>
        <w:rPr>
          <w:sz w:val="24"/>
        </w:rPr>
        <w:tab/>
        <w:tab/>
        <w:tab/>
        <w:tab/>
        <w:tab/>
        <w:tab/>
        <w:tab/>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center" w:pos="4680" w:leader="none"/>
        </w:tabs>
        <w:suppressAutoHyphens w:val="true"/>
        <w:rPr>
          <w:b/>
          <w:sz w:val="24"/>
        </w:rPr>
      </w:pPr>
      <w:r>
        <w:rPr>
          <w:b/>
          <w:sz w:val="24"/>
        </w:rPr>
        <w:tab/>
        <w:t xml:space="preserve">PREPARED DIRECT TESTIMONY OF </w:t>
      </w:r>
    </w:p>
    <w:p>
      <w:pPr>
        <w:pStyle w:val="Normal"/>
        <w:tabs>
          <w:tab w:val="clear" w:pos="720"/>
          <w:tab w:val="center" w:pos="4680" w:leader="none"/>
        </w:tabs>
        <w:suppressAutoHyphens w:val="true"/>
        <w:jc w:val="center"/>
        <w:rPr>
          <w:b/>
          <w:sz w:val="24"/>
        </w:rPr>
      </w:pPr>
      <w:r>
        <w:rPr>
          <w:b/>
          <w:sz w:val="24"/>
        </w:rPr>
        <w:t>KIRK T. MORGAN</w:t>
      </w:r>
    </w:p>
    <w:p>
      <w:pPr>
        <w:pStyle w:val="Normal"/>
        <w:tabs>
          <w:tab w:val="clear" w:pos="720"/>
          <w:tab w:val="center" w:pos="4680" w:leader="none"/>
        </w:tabs>
        <w:suppressAutoHyphens w:val="true"/>
        <w:rPr>
          <w:b/>
          <w:sz w:val="24"/>
        </w:rPr>
      </w:pPr>
      <w:r>
        <w:rPr>
          <w:b/>
          <w:sz w:val="24"/>
        </w:rPr>
        <w:tab/>
        <w:t>ON BEHALF OF</w:t>
      </w:r>
    </w:p>
    <w:p>
      <w:pPr>
        <w:pStyle w:val="Normal"/>
        <w:tabs>
          <w:tab w:val="clear" w:pos="720"/>
          <w:tab w:val="center" w:pos="4680" w:leader="none"/>
        </w:tabs>
        <w:suppressAutoHyphens w:val="true"/>
        <w:jc w:val="center"/>
        <w:rPr>
          <w:sz w:val="24"/>
        </w:rPr>
      </w:pPr>
      <w:r>
        <w:rPr>
          <w:b/>
          <w:sz w:val="24"/>
        </w:rPr>
        <w:t>KERN RIVER GAS TRANSMISSION COMPANY</w:t>
      </w:r>
    </w:p>
    <w:p>
      <w:pPr>
        <w:pStyle w:val="Normal"/>
        <w:tabs>
          <w:tab w:val="clear" w:pos="720"/>
          <w:tab w:val="left" w:pos="-720" w:leader="none"/>
        </w:tabs>
        <w:suppressAutoHyphens w:val="true"/>
        <w:jc w:val="center"/>
        <w:rPr>
          <w:b/>
          <w:sz w:val="24"/>
        </w:rPr>
      </w:pPr>
      <w:r>
        <w:rPr>
          <w:b/>
          <w:sz w:val="24"/>
        </w:rPr>
      </w:r>
    </w:p>
    <w:p>
      <w:pPr>
        <w:pStyle w:val="Normal"/>
        <w:tabs>
          <w:tab w:val="clear" w:pos="720"/>
          <w:tab w:val="left" w:pos="-720" w:leader="none"/>
        </w:tabs>
        <w:suppressAutoHyphens w:val="true"/>
        <w:rPr>
          <w:b/>
          <w:sz w:val="24"/>
        </w:rPr>
      </w:pPr>
      <w:r>
        <w:rPr>
          <w:b/>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sectPr>
          <w:type w:val="nextPage"/>
          <w:pgSz w:w="12240" w:h="15840"/>
          <w:pgMar w:left="1440" w:right="1440" w:gutter="0" w:header="0" w:top="1440" w:footer="0" w:bottom="1440"/>
          <w:lnNumType w:countBy="1" w:restart="newPage" w:distance="283"/>
          <w:pgNumType w:fmt="decimal"/>
          <w:formProt w:val="false"/>
          <w:titlePg/>
          <w:textDirection w:val="lrTb"/>
          <w:docGrid w:type="default" w:linePitch="360" w:charSpace="0"/>
        </w:sectPr>
        <w:pStyle w:val="Normal"/>
        <w:tabs>
          <w:tab w:val="clear" w:pos="720"/>
          <w:tab w:val="left" w:pos="-720" w:leader="none"/>
        </w:tabs>
        <w:suppressAutoHyphens w:val="true"/>
        <w:rPr>
          <w:sz w:val="24"/>
        </w:rPr>
      </w:pPr>
      <w:r>
        <w:rPr>
          <w:sz w:val="24"/>
        </w:rPr>
        <w:t>Filed May 5, 2000</w:t>
      </w:r>
    </w:p>
    <w:p>
      <w:pPr>
        <w:pStyle w:val="Normal"/>
        <w:tabs>
          <w:tab w:val="clear" w:pos="720"/>
          <w:tab w:val="center" w:pos="4680" w:leader="none"/>
        </w:tabs>
        <w:suppressAutoHyphens w:val="true"/>
        <w:rPr>
          <w:b/>
          <w:sz w:val="24"/>
        </w:rPr>
      </w:pPr>
      <w:r>
        <w:rPr>
          <w:b/>
          <w:sz w:val="24"/>
        </w:rPr>
        <w:tab/>
        <w:t xml:space="preserve">PREPARED DIRECT TESTIMONY OF </w:t>
      </w:r>
    </w:p>
    <w:p>
      <w:pPr>
        <w:pStyle w:val="Normal"/>
        <w:tabs>
          <w:tab w:val="clear" w:pos="720"/>
          <w:tab w:val="center" w:pos="4680" w:leader="none"/>
        </w:tabs>
        <w:suppressAutoHyphens w:val="true"/>
        <w:jc w:val="center"/>
        <w:rPr>
          <w:b/>
          <w:sz w:val="24"/>
        </w:rPr>
      </w:pPr>
      <w:r>
        <w:rPr>
          <w:b/>
          <w:sz w:val="24"/>
        </w:rPr>
        <w:t>KIRK T. MORGAN</w:t>
      </w:r>
    </w:p>
    <w:p>
      <w:pPr>
        <w:pStyle w:val="Normal"/>
        <w:tabs>
          <w:tab w:val="clear" w:pos="720"/>
          <w:tab w:val="center" w:pos="4680" w:leader="none"/>
        </w:tabs>
        <w:suppressAutoHyphens w:val="true"/>
        <w:rPr>
          <w:b/>
          <w:sz w:val="24"/>
        </w:rPr>
      </w:pPr>
      <w:r>
        <w:rPr>
          <w:b/>
          <w:sz w:val="24"/>
        </w:rPr>
        <w:tab/>
        <w:t>ON BEHALF OF</w:t>
      </w:r>
    </w:p>
    <w:p>
      <w:pPr>
        <w:pStyle w:val="Normal"/>
        <w:tabs>
          <w:tab w:val="clear" w:pos="720"/>
          <w:tab w:val="center" w:pos="4680" w:leader="none"/>
        </w:tabs>
        <w:suppressAutoHyphens w:val="true"/>
        <w:jc w:val="center"/>
        <w:rPr>
          <w:rStyle w:val="LineNumber"/>
          <w:b/>
          <w:sz w:val="24"/>
        </w:rPr>
      </w:pPr>
      <w:r>
        <w:rPr>
          <w:b/>
          <w:sz w:val="24"/>
        </w:rPr>
        <w:t>KERN RIVER GAS TRANSMISSION COMPANY</w:t>
      </w:r>
    </w:p>
    <w:p>
      <w:pPr>
        <w:pStyle w:val="Normal"/>
        <w:tabs>
          <w:tab w:val="clear" w:pos="720"/>
          <w:tab w:val="left" w:pos="-720" w:leader="none"/>
          <w:tab w:val="left" w:pos="0" w:leader="none"/>
        </w:tabs>
        <w:suppressAutoHyphens w:val="true"/>
        <w:spacing w:lineRule="auto" w:line="480"/>
        <w:ind w:hanging="720" w:start="720" w:end="0"/>
        <w:jc w:val="both"/>
        <w:rPr>
          <w:rStyle w:val="LineNumber"/>
        </w:rPr>
      </w:pPr>
      <w:r>
        <w:rPr/>
      </w:r>
    </w:p>
    <w:p>
      <w:pPr>
        <w:sectPr>
          <w:footerReference w:type="default" r:id="rId3"/>
          <w:footerReference w:type="first" r:id="rId4"/>
          <w:type w:val="nextPage"/>
          <w:pgSz w:w="12240" w:h="15840"/>
          <w:pgMar w:left="1440" w:right="1440" w:gutter="0" w:header="0" w:top="1440" w:footer="864" w:bottom="1440"/>
          <w:lnNumType w:countBy="1" w:restart="newPage" w:distance="283"/>
          <w:pgNumType w:start="1" w:fmt="decimal"/>
          <w:formProt w:val="false"/>
          <w:titlePg/>
          <w:textDirection w:val="lrTb"/>
          <w:docGrid w:type="default" w:linePitch="360" w:charSpace="0"/>
        </w:sectPr>
      </w:pP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Please state your name and business address.</w:t>
      </w:r>
    </w:p>
    <w:p>
      <w:pPr>
        <w:pStyle w:val="BodyTextIndent"/>
        <w:rPr>
          <w:rStyle w:val="LineNumber"/>
        </w:rPr>
      </w:pPr>
      <w:r>
        <w:rPr>
          <w:rStyle w:val="LineNumber"/>
          <w:spacing w:val="0"/>
        </w:rPr>
        <w:t>A.</w:t>
        <w:tab/>
        <w:t>My name is Kirk T. Morgan.  My business address is 295 Chipeta Way, Salt Lake City, Utah  84158.</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By whom are you employed and what are your current responsibilities?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I am employed by Kern River Gas Transmission Company (“Kern River”) and Northwest Pipeline Corporation (“Northwest”) as Director, Business Development.</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Please describe your education and prior employment.</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I received an Associate of Arts degree from Feather River College in 1974 and a Bachelor of Science degree in Natural Resource Planning from Humboldt State University in 1977.</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b/>
        <w:t>From 1982 to 1988, I held various positions of increasing responsibility with Northwest and Kern River.  In 1989, I became Kern River’s Manager of Right-of-Way.  In that position, I was responsible for securing all rights-of-way and permits required for the construction of the Kern River pipeline system. In 1996, I became Kern River’s Director of Marketing and Regulatory Affairs, with responsibility for marketing existing capacity on the pipeline, as well as planning for new facilities and capacity expansions.  My responsibilities also included strategic planning, rates and regulatory matters.  I assumed my current position in August, 1997.</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What is the purpose of your testimony in this proceeding?</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I am testifying in this proceeding in support of Kern River’s position that the Commission direct Southern California Gas Company (“SoCalGas”) to make the scheduling criteria for new interconnections to new and existing pipelines the same as scheduling criteria for existing receipt points, as long as the new points do not constrain existing points.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What is the source of your understanding of the scheduling priority for new interconnections to new and existing pipelines included in SoCalGas’ Comprehensive Settlement (“Comprehensive Settlement”).</w:t>
      </w:r>
    </w:p>
    <w:p>
      <w:pPr>
        <w:pStyle w:val="Heading1"/>
        <w:ind w:hanging="0" w:start="0"/>
        <w:rPr/>
      </w:pPr>
      <w:r>
        <w:rPr>
          <w:rStyle w:val="LineNumber"/>
        </w:rPr>
        <w:t>A.</w:t>
        <w:tab/>
        <w:t xml:space="preserve">Page two of Appendix B to the Comprehensive Settlement states the parties' intent, as follows; </w:t>
      </w:r>
    </w:p>
    <w:p>
      <w:pPr>
        <w:pStyle w:val="Normal"/>
        <w:tabs>
          <w:tab w:val="clear" w:pos="720"/>
          <w:tab w:val="left" w:pos="-720" w:leader="none"/>
          <w:tab w:val="left" w:pos="0" w:leader="none"/>
        </w:tabs>
        <w:suppressAutoHyphens w:val="true"/>
        <w:spacing w:lineRule="auto" w:line="480"/>
        <w:ind w:hanging="720" w:start="1440" w:end="0"/>
        <w:jc w:val="both"/>
        <w:rPr/>
      </w:pPr>
      <w:r>
        <w:rPr>
          <w:rStyle w:val="LineNumber"/>
        </w:rPr>
        <w:tab/>
        <w:t>“</w:t>
      </w:r>
      <w:r>
        <w:rPr>
          <w:rStyle w:val="LineNumber"/>
          <w:u w:val="single"/>
        </w:rPr>
        <w:t>New or Expanded Interconnections with Existing or New Pipelines</w:t>
      </w:r>
      <w:r>
        <w:rPr>
          <w:rStyle w:val="LineNumber"/>
        </w:rPr>
        <w:t xml:space="preserve"> </w:t>
      </w:r>
    </w:p>
    <w:p>
      <w:pPr>
        <w:pStyle w:val="Normal"/>
        <w:tabs>
          <w:tab w:val="clear" w:pos="720"/>
          <w:tab w:val="left" w:pos="-720" w:leader="none"/>
          <w:tab w:val="left" w:pos="0" w:leader="none"/>
        </w:tabs>
        <w:suppressAutoHyphens w:val="true"/>
        <w:spacing w:lineRule="auto" w:line="480"/>
        <w:ind w:hanging="720" w:start="1440" w:end="0"/>
        <w:jc w:val="both"/>
        <w:rPr/>
      </w:pPr>
      <w:r>
        <w:rPr>
          <w:rStyle w:val="LineNumber"/>
        </w:rPr>
        <w:tab/>
        <w:t>All new or expanded interconnections will have secondary access rights only, and will be subject to bumping by gas scheduled through primary access points.”</w:t>
      </w:r>
    </w:p>
    <w:p>
      <w:pPr>
        <w:pStyle w:val="BodyTextIndent3"/>
        <w:spacing w:lineRule="auto" w:line="480"/>
        <w:rPr/>
      </w:pPr>
      <w:r>
        <w:rPr>
          <w:rStyle w:val="LineNumber"/>
        </w:rPr>
        <w:t>Q.</w:t>
        <w:tab/>
        <w:t>Why does Kern River believe a change in access rights is required for new interconnections as reflected in the Comprehensive Settlement?</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Kern River concurs with the Comprehensive Settlement’s objectives for a competitive and level playing field in the California marketplace, which is Kern River’s primary market. Even though Kern River sees a number of features in both the Settlement supported by the Southern California Generation Coalition and The Utility Reform Network, and the Comprehensive Settlement proposed by SoCalGas that are good for the market (i.e. customers), regulators and SoCalGas, Kern River objects to the efforts to discourage new pipeline interconnections which is contrary to the California Public Utility Commission's (“CPUC”) own objectives to encourage competition and a level playing field. Consequently, Kern River takes exception to the SoCalGas proposal to in effect discriminate against new or expanded pipelines by giving them secondary rights instead of primary rights to new interconnections.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What is Kern River’s proposal to further enhance competition under the SoCalGas Comprehensive Settlement?</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Kern River’s proposal is to give the market more choice by requiring SoCalGas to grant primary access rights at new interconnections with new and existing pipelines, where such new interconnections do not degrade existing delivery capacity at existing SoCalGas receipt points.  This would encourage pipeline expansions that provide greater access to low cost supply basins, when those expansions are competitively attractive.   In addition it would prevent SoCalGas from withholding existing available capacity from the market.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What do you understand is the ostensible purpose for creating secondary access for new interconnections?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My thinking is that certain Comprehensive Settlement parties are attempting to discourage new entrants or expansions into the SoCalGas system and its marketplace.  On the surface however, I understand it is intended to enhance the value of existing pipeline capacity contracts with El Paso Natural Gas Company and Transwestern Pipeline Company. Existing interconnections would have preferential primary access to SoCalGas' system under the scheduling priority included in the Comprehensive Settlement. This allows SoCalGas to reduce its stranded ITC costs, however, that reduction comes at the expense of the marketplace because access to lower-cost supply basins could be restricted.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Do you agree that new interconnections should have the same priority rights as existing interconnections?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I believe that new interconnections to new and existing pipelines should have the same priority rights as existing interconnections, </w:t>
      </w:r>
      <w:r>
        <w:rPr>
          <w:rStyle w:val="LineNumber"/>
          <w:u w:val="single"/>
        </w:rPr>
        <w:t>only if</w:t>
      </w:r>
      <w:r>
        <w:rPr>
          <w:rStyle w:val="LineNumber"/>
        </w:rPr>
        <w:t xml:space="preserve"> the existing interconnections’ access has not been degraded by the new interconnection. This recognizes the commitments made by SoCalGas’ customers to initially underwrite those existing interconnections. There are some points in SoCalGas system where the addition of a new interconnection from a new pipeline might constrain the capacity available upstream of that new interconnection.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When should new interconnections to new and existing pipelines be granted primary access?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Kern River believes that there are some locations where a new interconnection to a new or existing pipeline can provide operational benefits for SoCalGas’ system or provide supply choice benefits for SoCalGas’ customers.</w:t>
        <w:tab/>
        <w:t>One example would be where a new interconnection might enhance system throughput, and at the same time, provide customers with access to lower cost supply sources. Consequently, such an interconnection should be accorded primary access.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Please summarize your recommendation with respect to the priority for new interconnections to new and existing pipelines?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It is my recommendation that scheduling on new interconnections to new and existing pipelines be implemented with primary access rights. However, if such primary access restricts flows upstream of that interconnection, that pipeline should be accorded secondary access to the extent of the limitation.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Does this conclude your testimony?</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Yes.</w:t>
      </w:r>
    </w:p>
    <w:p>
      <w:pPr>
        <w:pStyle w:val="Normal"/>
        <w:tabs>
          <w:tab w:val="clear" w:pos="720"/>
          <w:tab w:val="left" w:pos="-720" w:leader="none"/>
          <w:tab w:val="left" w:pos="0" w:leader="none"/>
        </w:tabs>
        <w:suppressAutoHyphens w:val="true"/>
        <w:spacing w:lineRule="auto" w:line="480"/>
        <w:ind w:hanging="720" w:start="720" w:end="0"/>
        <w:jc w:val="both"/>
        <w:rPr>
          <w:rStyle w:val="LineNumber"/>
          <w:spacing w:val="-2"/>
          <w:sz w:val="24"/>
        </w:rPr>
      </w:pPr>
      <w:r>
        <w:rPr/>
      </w:r>
    </w:p>
    <w:p>
      <w:pPr>
        <w:pStyle w:val="Normal"/>
        <w:tabs>
          <w:tab w:val="clear" w:pos="720"/>
          <w:tab w:val="left" w:pos="-720" w:leader="none"/>
          <w:tab w:val="left" w:pos="0" w:leader="none"/>
        </w:tabs>
        <w:suppressAutoHyphens w:val="true"/>
        <w:spacing w:lineRule="auto" w:line="480"/>
        <w:ind w:hanging="720" w:start="720" w:end="0"/>
        <w:jc w:val="both"/>
        <w:rPr>
          <w:spacing w:val="-2"/>
          <w:sz w:val="24"/>
        </w:rPr>
      </w:pPr>
      <w:r>
        <w:rPr>
          <w:spacing w:val="-2"/>
          <w:sz w:val="24"/>
        </w:rPr>
      </w:r>
    </w:p>
    <w:p>
      <w:pPr>
        <w:pStyle w:val="Normal"/>
        <w:tabs>
          <w:tab w:val="clear" w:pos="720"/>
          <w:tab w:val="left" w:pos="-720" w:leader="none"/>
          <w:tab w:val="left" w:pos="0" w:leader="none"/>
        </w:tabs>
        <w:suppressAutoHyphens w:val="true"/>
        <w:spacing w:lineRule="auto" w:line="480"/>
        <w:ind w:hanging="720" w:start="720" w:end="0"/>
        <w:jc w:val="both"/>
        <w:rPr>
          <w:spacing w:val="-2"/>
          <w:sz w:val="24"/>
        </w:rPr>
      </w:pPr>
      <w:r>
        <w:rPr>
          <w:spacing w:val="-2"/>
          <w:sz w:val="24"/>
        </w:rPr>
      </w:r>
    </w:p>
    <w:p>
      <w:pPr>
        <w:pStyle w:val="Normal"/>
        <w:tabs>
          <w:tab w:val="clear" w:pos="720"/>
          <w:tab w:val="left" w:pos="-720" w:leader="none"/>
          <w:tab w:val="left" w:pos="0" w:leader="none"/>
        </w:tabs>
        <w:suppressAutoHyphens w:val="true"/>
        <w:spacing w:lineRule="auto" w:line="480"/>
        <w:ind w:hanging="720" w:start="720" w:end="0"/>
        <w:jc w:val="both"/>
        <w:rPr>
          <w:spacing w:val="-2"/>
          <w:sz w:val="24"/>
        </w:rPr>
      </w:pPr>
      <w:r>
        <w:rPr>
          <w:spacing w:val="-2"/>
          <w:sz w:val="24"/>
        </w:rPr>
      </w:r>
    </w:p>
    <w:p>
      <w:pPr>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pPr>
    </w:p>
    <w:p>
      <w:pPr>
        <w:pStyle w:val="Normal"/>
        <w:tabs>
          <w:tab w:val="clear" w:pos="720"/>
          <w:tab w:val="center" w:pos="4680" w:leader="none"/>
        </w:tabs>
        <w:suppressAutoHyphens w:val="true"/>
        <w:rPr>
          <w:b/>
          <w:sz w:val="24"/>
        </w:rPr>
      </w:pPr>
      <w:r>
        <w:rPr>
          <w:b/>
          <w:sz w:val="24"/>
        </w:rPr>
        <w:tab/>
        <w:t>BEFORE THE</w:t>
      </w:r>
    </w:p>
    <w:p>
      <w:pPr>
        <w:pStyle w:val="Normal"/>
        <w:tabs>
          <w:tab w:val="clear" w:pos="720"/>
          <w:tab w:val="center" w:pos="4680" w:leader="none"/>
        </w:tabs>
        <w:suppressAutoHyphens w:val="true"/>
        <w:rPr>
          <w:b/>
          <w:sz w:val="24"/>
        </w:rPr>
      </w:pPr>
      <w:r>
        <w:rPr>
          <w:b/>
          <w:sz w:val="24"/>
        </w:rPr>
        <w:tab/>
        <w:t>PUBLIC UTILITIES COMMISSION OF THE STATE OF CALIFORNIA</w:t>
      </w:r>
    </w:p>
    <w:p>
      <w:pPr>
        <w:pStyle w:val="Normal"/>
        <w:tabs>
          <w:tab w:val="clear" w:pos="720"/>
          <w:tab w:val="left" w:pos="-720" w:leader="none"/>
        </w:tabs>
        <w:suppressAutoHyphens w:val="true"/>
        <w:rPr>
          <w:b/>
          <w:sz w:val="24"/>
        </w:rPr>
      </w:pPr>
      <w:r>
        <w:rPr>
          <w:b/>
          <w:sz w:val="24"/>
        </w:rPr>
      </w:r>
    </w:p>
    <w:p>
      <w:pPr>
        <w:pStyle w:val="Normal"/>
        <w:tabs>
          <w:tab w:val="clear" w:pos="720"/>
          <w:tab w:val="left" w:pos="-720" w:leader="none"/>
        </w:tabs>
        <w:suppressAutoHyphens w:val="true"/>
        <w:rPr>
          <w:b/>
          <w:sz w:val="24"/>
        </w:rPr>
      </w:pPr>
      <w:r>
        <w:rPr>
          <w:b/>
          <w:sz w:val="24"/>
        </w:rPr>
      </w:r>
    </w:p>
    <w:p>
      <w:pPr>
        <w:pStyle w:val="Normal"/>
        <w:tabs>
          <w:tab w:val="clear" w:pos="720"/>
          <w:tab w:val="left" w:pos="-720" w:leader="none"/>
        </w:tabs>
        <w:suppressAutoHyphens w:val="true"/>
        <w:rPr>
          <w:sz w:val="24"/>
        </w:rPr>
      </w:pPr>
      <w:r>
        <w:rPr>
          <w:sz w:val="24"/>
        </w:rPr>
        <w:t>Investigation on the Commission's Own Motion to</w:t>
        <w:tab/>
        <w:t>)</w:t>
        <w:tab/>
      </w:r>
    </w:p>
    <w:p>
      <w:pPr>
        <w:pStyle w:val="Normal"/>
        <w:tabs>
          <w:tab w:val="clear" w:pos="720"/>
          <w:tab w:val="left" w:pos="-720" w:leader="none"/>
        </w:tabs>
        <w:suppressAutoHyphens w:val="true"/>
        <w:rPr>
          <w:b/>
          <w:sz w:val="24"/>
        </w:rPr>
      </w:pPr>
      <w:r>
        <w:rPr>
          <w:sz w:val="24"/>
        </w:rPr>
        <w:t xml:space="preserve">Consider the Costs and Benefits of Various </w:t>
        <w:tab/>
        <w:tab/>
        <w:t>)</w:t>
        <w:tab/>
        <w:tab/>
        <w:t>Investigation 99-07-003 Revisions to the Regulatory and Market Structure</w:t>
      </w:r>
      <w:r>
        <w:rPr>
          <w:b/>
          <w:sz w:val="24"/>
        </w:rPr>
        <w:tab/>
      </w:r>
      <w:r>
        <w:rPr>
          <w:sz w:val="24"/>
        </w:rPr>
        <w:t>)</w:t>
      </w:r>
    </w:p>
    <w:p>
      <w:pPr>
        <w:pStyle w:val="Normal"/>
        <w:tabs>
          <w:tab w:val="clear" w:pos="720"/>
          <w:tab w:val="left" w:pos="-720" w:leader="none"/>
        </w:tabs>
        <w:suppressAutoHyphens w:val="true"/>
        <w:rPr>
          <w:b/>
          <w:sz w:val="24"/>
        </w:rPr>
      </w:pPr>
      <w:r>
        <w:rPr>
          <w:sz w:val="24"/>
        </w:rPr>
        <w:t>Governing California's Natural Gas Industry and to   )</w:t>
      </w:r>
    </w:p>
    <w:p>
      <w:pPr>
        <w:pStyle w:val="Normal"/>
        <w:tabs>
          <w:tab w:val="clear" w:pos="720"/>
          <w:tab w:val="left" w:pos="-720" w:leader="none"/>
        </w:tabs>
        <w:suppressAutoHyphens w:val="true"/>
        <w:rPr>
          <w:sz w:val="24"/>
        </w:rPr>
      </w:pPr>
      <w:r>
        <w:rPr>
          <w:sz w:val="24"/>
        </w:rPr>
        <w:t xml:space="preserve">Report to the California Legislature on the </w:t>
        <w:tab/>
        <w:tab/>
        <w:t>)</w:t>
      </w:r>
    </w:p>
    <w:p>
      <w:pPr>
        <w:pStyle w:val="Normal"/>
        <w:tabs>
          <w:tab w:val="clear" w:pos="720"/>
          <w:tab w:val="left" w:pos="-720" w:leader="none"/>
        </w:tabs>
        <w:suppressAutoHyphens w:val="true"/>
        <w:rPr>
          <w:sz w:val="24"/>
        </w:rPr>
      </w:pPr>
      <w:r>
        <w:rPr>
          <w:sz w:val="24"/>
        </w:rPr>
        <w:t>Commission's Findings.</w:t>
        <w:tab/>
        <w:tab/>
        <w:tab/>
        <w:tab/>
        <w:t>)</w:t>
      </w:r>
    </w:p>
    <w:p>
      <w:pPr>
        <w:pStyle w:val="Normal"/>
        <w:tabs>
          <w:tab w:val="clear" w:pos="720"/>
          <w:tab w:val="left" w:pos="-720" w:leader="none"/>
        </w:tabs>
        <w:suppressAutoHyphens w:val="true"/>
        <w:rPr>
          <w:sz w:val="24"/>
        </w:rPr>
      </w:pPr>
      <w:r>
        <w:rPr>
          <w:sz w:val="24"/>
        </w:rPr>
        <w:t>__________________________________________)</w:t>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r>
    </w:p>
    <w:p>
      <w:pPr>
        <w:pStyle w:val="Normal"/>
        <w:tabs>
          <w:tab w:val="clear" w:pos="720"/>
          <w:tab w:val="center" w:pos="4680" w:leader="none"/>
        </w:tabs>
        <w:suppressAutoHyphens w:val="true"/>
        <w:rPr>
          <w:sz w:val="24"/>
        </w:rPr>
      </w:pPr>
      <w:r>
        <w:rPr>
          <w:b/>
          <w:sz w:val="24"/>
        </w:rPr>
        <w:tab/>
        <w:t>AFFIDAVIT</w:t>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spacing w:lineRule="auto" w:line="480"/>
        <w:jc w:val="both"/>
        <w:rPr>
          <w:spacing w:val="-2"/>
          <w:sz w:val="24"/>
        </w:rPr>
      </w:pPr>
      <w:r>
        <w:rPr>
          <w:spacing w:val="-2"/>
          <w:sz w:val="24"/>
        </w:rPr>
        <w:tab/>
        <w:t>Kirk T. Morgan, being first duly sworn, deposes and says that the “Prepared Direct Testimony of Kirk T. Morgan on behalf of Kern River Gas Transmission Company” which accompanies this affidavit was prepared by him or under his direction and supervision; that he is familiar with the contents of the testimony; that the facts set forth therein are true and correct to the best of his knowledge, information and belief; and that he adopts the same as his sworn testimony in this proceeding.</w:t>
      </w:r>
    </w:p>
    <w:p>
      <w:pPr>
        <w:pStyle w:val="Normal"/>
        <w:tabs>
          <w:tab w:val="clear" w:pos="720"/>
          <w:tab w:val="left" w:pos="-720" w:leader="none"/>
        </w:tabs>
        <w:suppressAutoHyphens w:val="true"/>
        <w:ind w:start="2880" w:end="0"/>
        <w:jc w:val="both"/>
        <w:rPr/>
      </w:pPr>
      <w:r>
        <w:rPr>
          <w:spacing w:val="-2"/>
          <w:sz w:val="24"/>
        </w:rPr>
        <w:tab/>
        <w:tab/>
        <w:tab/>
        <w:tab/>
        <w:tab/>
        <w:tab/>
        <w:tab/>
      </w:r>
      <w:r>
        <w:rPr>
          <w:spacing w:val="-2"/>
          <w:sz w:val="24"/>
          <w:u w:val="single"/>
        </w:rPr>
        <w:t>/S/______________________________________</w:t>
      </w:r>
    </w:p>
    <w:p>
      <w:pPr>
        <w:pStyle w:val="Normal"/>
        <w:tabs>
          <w:tab w:val="clear" w:pos="720"/>
          <w:tab w:val="left" w:pos="-720" w:leader="none"/>
        </w:tabs>
        <w:suppressAutoHyphens w:val="true"/>
        <w:jc w:val="both"/>
        <w:rPr>
          <w:spacing w:val="-2"/>
          <w:sz w:val="24"/>
        </w:rPr>
      </w:pPr>
      <w:r>
        <w:rPr>
          <w:spacing w:val="-2"/>
          <w:sz w:val="24"/>
        </w:rPr>
        <w:tab/>
        <w:tab/>
        <w:tab/>
        <w:tab/>
        <w:tab/>
        <w:tab/>
        <w:tab/>
        <w:t>Kirk T. Morgan</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Subscribed and sworn to before the undersigned, a notary public of the State of Utah, this ____ day of May, 2000.</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______________________________</w:t>
      </w:r>
    </w:p>
    <w:p>
      <w:pPr>
        <w:pStyle w:val="Normal"/>
        <w:tabs>
          <w:tab w:val="clear" w:pos="720"/>
          <w:tab w:val="left" w:pos="-720" w:leader="none"/>
        </w:tabs>
        <w:suppressAutoHyphens w:val="true"/>
        <w:jc w:val="both"/>
        <w:rPr>
          <w:spacing w:val="-2"/>
          <w:sz w:val="24"/>
        </w:rPr>
      </w:pPr>
      <w:r>
        <w:rPr>
          <w:spacing w:val="-2"/>
          <w:sz w:val="24"/>
        </w:rPr>
        <w:t>Notary Public</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rPr>
      </w:pPr>
      <w:r>
        <w:rPr>
          <w:spacing w:val="-2"/>
          <w:sz w:val="24"/>
        </w:rPr>
        <w:t>My commission expires ____________________________________</w:t>
      </w:r>
    </w:p>
    <w:p>
      <w:pPr>
        <w:pStyle w:val="Normal"/>
        <w:jc w:val="center"/>
        <w:rPr>
          <w:spacing w:val="-2"/>
          <w:sz w:val="22"/>
        </w:rPr>
      </w:pPr>
      <w:r>
        <w:rPr>
          <w:spacing w:val="-2"/>
          <w:sz w:val="22"/>
        </w:rPr>
      </w:r>
    </w:p>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sz w:val="24"/>
      <w:lang w:eastAsia="en-U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720" w:start="720" w:end="0"/>
      <w:jc w:val="both"/>
    </w:pPr>
    <w:rPr>
      <w:spacing w:val="-2"/>
      <w:sz w:val="24"/>
      <w:lang w:eastAsia="en-US"/>
    </w:rPr>
  </w:style>
  <w:style w:type="paragraph" w:styleId="BodyTextIndent3">
    <w:name w:val="Body Text Indent 3"/>
    <w:basedOn w:val="Normal"/>
    <w:qFormat/>
    <w:pPr>
      <w:widowControl w:val="false"/>
      <w:spacing w:lineRule="auto" w:line="360"/>
      <w:ind w:hanging="720" w:start="720" w:end="0"/>
    </w:pPr>
    <w:rPr>
      <w:rFonts w:ascii="Courier New" w:hAnsi="Courier New" w:cs="Courier New"/>
      <w:lang w:eastAsia="en-U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2000-05-05T18:54:00Z</dcterms:created>
  <dc:creator>PJ Secrist</dc:creator>
  <dc:description/>
  <dc:language>en-CA</dc:language>
  <cp:lastModifiedBy>Mark Moench</cp:lastModifiedBy>
  <cp:lastPrinted>2000-05-04T13:19:00Z</cp:lastPrinted>
  <dcterms:modified xsi:type="dcterms:W3CDTF">2000-05-05T19:02:00Z</dcterms:modified>
  <cp:revision>5</cp:revision>
  <dc:subject/>
  <dc:title>         </dc:title>
</cp:coreProperties>
</file>