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[To be agreed]</w:t>
      </w:r>
    </w:p>
    <w:p>
      <w:pPr>
        <w:pStyle w:val="Normal"/>
        <w:widowControl/>
        <w:rPr>
          <w:sz w:val="22"/>
          <w:u w:val="single"/>
        </w:rPr>
      </w:pPr>
      <w:r>
        <w:rPr>
          <w:sz w:val="22"/>
          <w:u w:val="single"/>
        </w:rPr>
      </w:r>
    </w:p>
    <w:p>
      <w:pPr>
        <w:pStyle w:val="Normal"/>
        <w:widowControl/>
        <w:ind w:firstLine="720" w:end="0"/>
        <w:rPr>
          <w:sz w:val="22"/>
        </w:rPr>
      </w:pPr>
      <w:r>
        <w:rPr>
          <w:sz w:val="22"/>
        </w:rPr>
        <w:t>To:</w:t>
        <w:tab/>
        <w:tab/>
        <w:tab/>
        <w:tab/>
        <w:t>KPM Lasara L.P. (“Party B”)</w:t>
      </w:r>
    </w:p>
    <w:p>
      <w:pPr>
        <w:pStyle w:val="Normal"/>
        <w:widowControl/>
        <w:rPr>
          <w:sz w:val="22"/>
        </w:rPr>
      </w:pPr>
      <w:r>
        <w:rPr>
          <w:sz w:val="22"/>
        </w:rPr>
      </w:r>
    </w:p>
    <w:p>
      <w:pPr>
        <w:pStyle w:val="Normal"/>
        <w:widowControl/>
        <w:ind w:firstLine="720" w:end="0"/>
        <w:rPr>
          <w:sz w:val="22"/>
        </w:rPr>
      </w:pPr>
      <w:r>
        <w:rPr>
          <w:sz w:val="22"/>
        </w:rPr>
        <w:t xml:space="preserve">Attention: </w:t>
        <w:tab/>
        <w:tab/>
        <w:tab/>
        <w:t>Mike McCabe</w:t>
      </w:r>
    </w:p>
    <w:p>
      <w:pPr>
        <w:pStyle w:val="Normal"/>
        <w:widowControl/>
        <w:rPr>
          <w:sz w:val="22"/>
        </w:rPr>
      </w:pPr>
      <w:r>
        <w:rPr>
          <w:sz w:val="22"/>
        </w:rPr>
      </w:r>
    </w:p>
    <w:p>
      <w:pPr>
        <w:pStyle w:val="Normal"/>
        <w:widowControl/>
        <w:ind w:firstLine="720" w:end="0"/>
        <w:rPr>
          <w:sz w:val="22"/>
        </w:rPr>
      </w:pPr>
      <w:r>
        <w:rPr>
          <w:sz w:val="22"/>
        </w:rPr>
        <w:t>Fax Number:</w:t>
        <w:tab/>
        <w:tab/>
        <w:tab/>
        <w:t>(781) 326-5105</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ENA Deal No. DRAFT</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[900,000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[7,500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Standard 48.8 Gram Newsprint</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b/>
                <w:sz w:val="22"/>
              </w:rPr>
            </w:pPr>
            <w:r>
              <w:rPr>
                <w:b/>
                <w:sz w:val="22"/>
              </w:rPr>
              <w:t>[To be agreed]</w:t>
            </w:r>
          </w:p>
        </w:tc>
      </w:tr>
      <w:tr>
        <w:trPr/>
        <w:tc>
          <w:tcPr>
            <w:tcW w:w="4788" w:type="dxa"/>
            <w:tcBorders/>
          </w:tcPr>
          <w:p>
            <w:pPr>
              <w:pStyle w:val="Normal"/>
              <w:widowControl/>
              <w:snapToGrid w:val="false"/>
              <w:ind w:firstLine="720" w:end="0"/>
              <w:jc w:val="both"/>
              <w:rPr>
                <w:b/>
                <w:sz w:val="22"/>
              </w:rPr>
            </w:pPr>
            <w:r>
              <w:rPr>
                <w:b/>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[January 01, 2002]</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31, 2011]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[January 01, 2002] and the final Calculation Period ending on [December 31, 2011]</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 xml:space="preserve">Party A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$560.00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 xml:space="preserve">Party B </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The Floating Price for each Calculation Period shall be the price per Metric Ton of Standard 48.8 Gram Newsprint, stated in U.S. Dollars, published under the headings “Table 16:  Newsprint Pricing for Standard 48.8 Gram Newsprint: U.S. Dollars Per Metric Ton, Delivered:  Average Transaction Price For All Buyers:  East</w:t>
            </w:r>
            <w:r>
              <w:rPr>
                <w:color w:val="FF0000"/>
                <w:sz w:val="22"/>
              </w:rPr>
              <w:t xml:space="preserve"> </w:t>
            </w:r>
            <w:r>
              <w:rPr>
                <w:sz w:val="22"/>
              </w:rPr>
              <w:t xml:space="preserve">Coast”  in the issue of </w:t>
            </w:r>
            <w:r>
              <w:rPr>
                <w:sz w:val="22"/>
                <w:u w:val="single"/>
              </w:rPr>
              <w:t>Paper Trader</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Paper Trader</w:t>
            </w:r>
            <w:r>
              <w:rPr>
                <w:sz w:val="22"/>
              </w:rPr>
              <w:t>, or any successor publication, published by Resource Information Systems,  Inc. or its successor (such publication, “</w:t>
            </w:r>
            <w:r>
              <w:rPr>
                <w:sz w:val="22"/>
                <w:u w:val="single"/>
              </w:rPr>
              <w:t>Paper Trader</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an amount equal to the sum of (a) the price per Metric Tons of Standard 48.8 Gram Newsprint, stated in U.S. Dollars, delivered in the Eastern U.S., published under the heading: “Price Watch: Paper: Grade: Newsprint: 30-lb East Coast” in the issue of </w:t>
            </w:r>
            <w:r>
              <w:rPr>
                <w:sz w:val="22"/>
                <w:u w:val="single"/>
              </w:rPr>
              <w:t>Pulp &amp; Paper Week</w:t>
            </w:r>
            <w:r>
              <w:rPr>
                <w:sz w:val="22"/>
              </w:rPr>
              <w:t xml:space="preserve"> (or its successor publication, as published by Miller Freeman Inc., or its successor) that reports prices effective for such Calculation Period and (b) an amount (which may be negative) equal to the difference between (i) the average of the prices per Standard 48.8 Gram Newsprint as determined in accordance with the definition of ‘Floating Price’ above for each month in which such price is available for the twelve calendar months immediately preceding the relevant Calculation Period and (ii) the average of the prices per Standard 48.8 Gram Newsprint as determined in accordance with subsection (a) above for each month in which such price is available for the twelve calendar months immediately preceding the relevant Calculation Period. </w:t>
            </w:r>
          </w:p>
          <w:p>
            <w:pPr>
              <w:pStyle w:val="Normal"/>
              <w:widowControl/>
              <w:jc w:val="both"/>
              <w:rPr>
                <w:sz w:val="22"/>
              </w:rPr>
            </w:pPr>
            <w:r>
              <w:rPr>
                <w:sz w:val="22"/>
              </w:rPr>
            </w:r>
          </w:p>
        </w:tc>
      </w:tr>
      <w:tr>
        <w:trPr/>
        <w:tc>
          <w:tcPr>
            <w:tcW w:w="4788" w:type="dxa"/>
            <w:tcBorders/>
          </w:tcPr>
          <w:p>
            <w:pPr>
              <w:pStyle w:val="Normal"/>
              <w:widowControl/>
              <w:jc w:val="both"/>
              <w:rPr>
                <w:b/>
                <w:sz w:val="22"/>
                <w:u w:val="single"/>
              </w:rPr>
            </w:pPr>
            <w:r>
              <w:rPr>
                <w:b/>
                <w:sz w:val="22"/>
                <w:u w:val="single"/>
              </w:rPr>
              <w:t>Automatic Termination Provisions:</w:t>
            </w:r>
          </w:p>
        </w:tc>
        <w:tc>
          <w:tcPr>
            <w:tcW w:w="4788" w:type="dxa"/>
            <w:tcBorders/>
          </w:tcPr>
          <w:p>
            <w:pPr>
              <w:pStyle w:val="Normal"/>
              <w:widowControl/>
              <w:jc w:val="both"/>
              <w:rPr/>
            </w:pPr>
            <w:r>
              <w:rPr>
                <w:spacing w:val="-4"/>
                <w:sz w:val="22"/>
              </w:rPr>
              <w:t xml:space="preserve">The parties hereto agree that on </w:t>
            </w:r>
            <w:r>
              <w:rPr>
                <w:b/>
                <w:color w:val="FF0000"/>
                <w:spacing w:val="-4"/>
                <w:sz w:val="22"/>
              </w:rPr>
              <w:t xml:space="preserve">[Date to be agreed] (the “Automatic Termination Date”) </w:t>
            </w:r>
            <w:r>
              <w:rPr>
                <w:spacing w:val="-4"/>
                <w:sz w:val="22"/>
              </w:rPr>
              <w:t xml:space="preserve">this Transaction shall terminate on such date without further action or payment required by either party; </w:t>
            </w:r>
            <w:r>
              <w:rPr>
                <w:spacing w:val="-4"/>
                <w:sz w:val="22"/>
                <w:u w:val="single"/>
              </w:rPr>
              <w:t>provided</w:t>
            </w:r>
            <w:r>
              <w:rPr>
                <w:spacing w:val="-4"/>
                <w:sz w:val="22"/>
              </w:rPr>
              <w:t xml:space="preserve">, however, on any Business Day from and including the Trade Date to and including the Automatic Termination Date, Party A may, by giving telephonic notice to Party B no later than 5:00 p.m. (CST) on such day (the “Notice Date”) designate that this Automatic Termination Provision shall not apply to this Transaction, </w:t>
            </w:r>
            <w:r>
              <w:rPr>
                <w:spacing w:val="-4"/>
                <w:sz w:val="22"/>
                <w:u w:val="single"/>
              </w:rPr>
              <w:t>provided further</w:t>
            </w:r>
            <w:r>
              <w:rPr>
                <w:spacing w:val="-4"/>
                <w:sz w:val="22"/>
              </w:rPr>
              <w:t xml:space="preserve">, however, that such notice may only be delivered by Party A if (i) the parties have executed an ISDA </w:t>
            </w:r>
            <w:r>
              <w:rPr>
                <w:spacing w:val="-4"/>
                <w:sz w:val="22"/>
                <w:lang w:eastAsia="en-US"/>
              </w:rPr>
              <w:t xml:space="preserve">Master Agreement and an ISDA Credit Support Annex (the "Master Agreement") (ii) </w:t>
            </w:r>
            <w:r>
              <w:rPr>
                <w:spacing w:val="-4"/>
                <w:sz w:val="22"/>
              </w:rPr>
              <w:t xml:space="preserve">the parties have agreed to certain credit provisions which shall govern this Transaction and </w:t>
            </w:r>
            <w:r>
              <w:rPr>
                <w:color w:val="000000"/>
                <w:spacing w:val="-4"/>
                <w:sz w:val="22"/>
                <w:lang w:eastAsia="en-US"/>
              </w:rPr>
              <w:t>(iii)   definitive agreements acceptable to Party A in its sole discretion regarding the debt and all other aspects of [the project to be owned by Party B], including but not limited to the senior debt facility, commitments and all project documents, have been fully negotiated and executed and the [project] has been brought to financial close</w:t>
            </w:r>
            <w:r>
              <w:rPr>
                <w:rFonts w:cs="Helv" w:ascii="Helv" w:hAnsi="Helv"/>
                <w:color w:val="000000"/>
                <w:spacing w:val="-4"/>
                <w:lang w:eastAsia="en-US"/>
              </w:rPr>
              <w:t xml:space="preserve">. </w:t>
            </w:r>
            <w:r>
              <w:rPr>
                <w:spacing w:val="-4"/>
                <w:sz w:val="22"/>
              </w:rPr>
              <w:t>Party A shall execute a written confirmation (including by facsimile transmission) confirming the substance of such telephonic notice and deliver same to Party B one Business Day following the Notice Date, provided however, that failure to deliver such written confirmation within the specified time period shall in no way affect or suspend the validity of the telephonic notice.</w:t>
            </w:r>
          </w:p>
        </w:tc>
      </w:tr>
      <w:tr>
        <w:trPr/>
        <w:tc>
          <w:tcPr>
            <w:tcW w:w="4788" w:type="dxa"/>
            <w:tcBorders/>
          </w:tcPr>
          <w:p>
            <w:pPr>
              <w:pStyle w:val="Normal"/>
              <w:widowControl/>
              <w:snapToGrid w:val="false"/>
              <w:jc w:val="both"/>
              <w:rPr>
                <w:b/>
                <w:spacing w:val="-4"/>
                <w:sz w:val="22"/>
                <w:u w:val="single"/>
              </w:rPr>
            </w:pPr>
            <w:r>
              <w:rPr>
                <w:b/>
                <w:spacing w:val="-4"/>
                <w:sz w:val="22"/>
                <w:u w:val="single"/>
              </w:rPr>
            </w:r>
          </w:p>
        </w:tc>
        <w:tc>
          <w:tcPr>
            <w:tcW w:w="4788" w:type="dxa"/>
            <w:tcBorders/>
          </w:tcPr>
          <w:p>
            <w:pPr>
              <w:pStyle w:val="Normal"/>
              <w:widowControl/>
              <w:snapToGrid w:val="false"/>
              <w:jc w:val="both"/>
              <w:rPr>
                <w:b/>
                <w:sz w:val="22"/>
                <w:u w:val="single"/>
              </w:rPr>
            </w:pPr>
            <w:r>
              <w:rPr>
                <w:b/>
                <w:sz w:val="22"/>
                <w:u w:val="single"/>
              </w:rPr>
            </w:r>
          </w:p>
        </w:tc>
      </w:tr>
      <w:tr>
        <w:trPr/>
        <w:tc>
          <w:tcPr>
            <w:tcW w:w="4788" w:type="dxa"/>
            <w:tcBorders/>
          </w:tcPr>
          <w:p>
            <w:pPr>
              <w:pStyle w:val="Normal"/>
              <w:widowControl/>
              <w:snapToGrid w:val="false"/>
              <w:jc w:val="both"/>
              <w:rPr>
                <w:b/>
                <w:sz w:val="22"/>
                <w:u w:val="single"/>
              </w:rPr>
            </w:pPr>
            <w:r>
              <w:rPr>
                <w:b/>
                <w:sz w:val="22"/>
                <w:u w:val="single"/>
              </w:rPr>
            </w:r>
          </w:p>
        </w:tc>
        <w:tc>
          <w:tcPr>
            <w:tcW w:w="4788" w:type="dxa"/>
            <w:tcBorders/>
          </w:tcPr>
          <w:p>
            <w:pPr>
              <w:pStyle w:val="BodyTextIndent"/>
              <w:tabs>
                <w:tab w:val="clear" w:pos="720"/>
                <w:tab w:val="left" w:pos="4140" w:leader="none"/>
              </w:tabs>
              <w:snapToGrid w:val="false"/>
              <w:ind w:hanging="0" w:end="0"/>
              <w:rPr>
                <w:b/>
                <w:sz w:val="22"/>
                <w:u w:val="single"/>
              </w:rPr>
            </w:pPr>
            <w:r>
              <w:rPr>
                <w:b/>
                <w:sz w:val="22"/>
                <w:u w:val="single"/>
              </w:rPr>
            </w:r>
          </w:p>
          <w:p>
            <w:pPr>
              <w:pStyle w:val="Normal"/>
              <w:widowControl/>
              <w:jc w:val="both"/>
              <w:rPr>
                <w:sz w:val="22"/>
              </w:rPr>
            </w:pPr>
            <w:r>
              <w:rPr>
                <w:sz w:val="22"/>
              </w:rPr>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KPM Lasara L.P.</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w:t>
      </w:r>
      <w:r>
        <w:rPr>
          <w:b/>
        </w:rPr>
        <w:t>DRAFT</w:t>
      </w:r>
      <w:r>
        <w:rPr/>
        <w:t>___________</w:t>
        <w:tab/>
        <w:tab/>
        <w:t>By:  __________</w:t>
      </w:r>
      <w:r>
        <w:rPr>
          <w:b/>
        </w:rPr>
        <w:t>DRAFT</w:t>
      </w:r>
      <w:r>
        <w:rPr/>
        <w:t>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DRAFT      FOR DISCUSSION PURPOSES ONLY    DRAFT            Deal No.DRAFT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BodyText2">
    <w:name w:val="Body Text 2"/>
    <w:basedOn w:val="Normal"/>
    <w:qFormat/>
    <w:pPr>
      <w:widowControl/>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1999-09-10T11:27:00Z</dcterms:created>
  <dc:creator>Enron</dc:creator>
  <dc:description/>
  <dc:language>en-CA</dc:language>
  <cp:lastModifiedBy>jcyprow</cp:lastModifiedBy>
  <cp:lastPrinted>1999-09-16T16:06:00Z</cp:lastPrinted>
  <dcterms:modified xsi:type="dcterms:W3CDTF">1999-09-16T19:02:00Z</dcterms:modified>
  <cp:revision>34</cp:revision>
  <dc:subject/>
  <dc:title>[ECT LETTERHEAD]</dc:title>
</cp:coreProperties>
</file>