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Estimating default probabilities: The KMV approach</w:t>
      </w:r>
    </w:p>
    <w:p>
      <w:pPr>
        <w:pStyle w:val="Normal"/>
        <w:jc w:val="center"/>
        <w:rPr>
          <w:b/>
          <w:bCs/>
        </w:rPr>
      </w:pPr>
      <w:r>
        <w:rPr>
          <w:b/>
          <w:bCs/>
        </w:rPr>
      </w:r>
    </w:p>
    <w:p>
      <w:pPr>
        <w:pStyle w:val="Normal"/>
        <w:rPr/>
      </w:pPr>
      <w:r>
        <w:rPr/>
        <w:t xml:space="preserve">Shareholders claim the total value of assets after they pay back all corporate obligations.  They can choose not to pay back their debt. This will happen when the value of the assets drops below the amount of debt due to be repaid. If the value of the assets is greater than debt then the shareholders repay their debt obligations. This choice of the shareholders to default on their debt implies that we can use the option pricing theory to determine the likelihood of the company forfeiting its obligations.  </w:t>
      </w:r>
    </w:p>
    <w:p>
      <w:pPr>
        <w:pStyle w:val="Normal"/>
        <w:rPr/>
      </w:pPr>
      <w:r>
        <w:rPr/>
      </w:r>
    </w:p>
    <w:p>
      <w:pPr>
        <w:pStyle w:val="Normal"/>
        <w:rPr/>
      </w:pPr>
      <w:r>
        <w:rPr/>
        <w:t>We give the required inputs from the equity market and the financial statements of the firm below:</w:t>
      </w:r>
    </w:p>
    <w:p>
      <w:pPr>
        <w:pStyle w:val="Normal"/>
        <w:rPr/>
      </w:pPr>
      <w:r>
        <w:rPr/>
      </w:r>
    </w:p>
    <w:p>
      <w:pPr>
        <w:pStyle w:val="Normal"/>
        <w:numPr>
          <w:ilvl w:val="0"/>
          <w:numId w:val="5"/>
        </w:numPr>
        <w:rPr/>
      </w:pPr>
      <w:r>
        <w:rPr/>
        <w:t>Market Value of equity.</w:t>
      </w:r>
    </w:p>
    <w:p>
      <w:pPr>
        <w:pStyle w:val="Normal"/>
        <w:numPr>
          <w:ilvl w:val="0"/>
          <w:numId w:val="5"/>
        </w:numPr>
        <w:rPr/>
      </w:pPr>
      <w:r>
        <w:rPr/>
        <w:t>Volatility of equity.</w:t>
      </w:r>
    </w:p>
    <w:p>
      <w:pPr>
        <w:pStyle w:val="Normal"/>
        <w:numPr>
          <w:ilvl w:val="0"/>
          <w:numId w:val="5"/>
        </w:numPr>
        <w:rPr/>
      </w:pPr>
      <w:r>
        <w:rPr/>
        <w:t>Risk free interest rate.</w:t>
      </w:r>
    </w:p>
    <w:p>
      <w:pPr>
        <w:pStyle w:val="Normal"/>
        <w:numPr>
          <w:ilvl w:val="0"/>
          <w:numId w:val="5"/>
        </w:numPr>
        <w:rPr/>
      </w:pPr>
      <w:r>
        <w:rPr/>
        <w:t>Value of debt repayment and time it is due  -- the capital structure of the firm is simplified by assuming that the whole debt is due as a single payment at a specific time in the future.</w:t>
      </w:r>
    </w:p>
    <w:p>
      <w:pPr>
        <w:pStyle w:val="Normal"/>
        <w:rPr/>
      </w:pPr>
      <w:r>
        <w:rPr/>
      </w:r>
    </w:p>
    <w:p>
      <w:pPr>
        <w:pStyle w:val="Normal"/>
        <w:rPr/>
      </w:pPr>
      <w:r>
        <w:rPr/>
        <w:t>We can derive the value of the assets and the volatility of assets from the celebrated Black-Scholes formula and a relationship between equity and assets volatility. Assuming also a probability distribution for the value of assets, we can find the probability of default for the company.</w:t>
      </w:r>
    </w:p>
    <w:p>
      <w:pPr>
        <w:pStyle w:val="Normal"/>
        <w:rPr/>
      </w:pPr>
      <w:r>
        <w:rPr/>
      </w:r>
    </w:p>
    <w:p>
      <w:pPr>
        <w:pStyle w:val="Normal"/>
        <w:rPr/>
      </w:pPr>
      <w:r>
        <w:rPr/>
        <w:t>The KMV Corporation has implemented this pricing method using the distance to default measure. As the name implies, this shows how close the company’s liabilities are relative to its assets.</w:t>
      </w:r>
    </w:p>
    <w:p>
      <w:pPr>
        <w:pStyle w:val="Normal"/>
        <w:rPr/>
      </w:pPr>
      <w:r>
        <w:rPr/>
      </w:r>
    </w:p>
    <w:p>
      <w:pPr>
        <w:pStyle w:val="Heading"/>
        <w:jc w:val="start"/>
        <w:rPr/>
      </w:pPr>
      <w:r>
        <w:rPr>
          <w:b w:val="false"/>
          <w:bCs w:val="false"/>
        </w:rPr>
        <w:t>KMV claims that it uses an empirically determined function to calculate the probability of default given the DTD measure. They use historical data to derive this function as the observed frequency of default for a given value of the distance from default. They have patented the default probability derived from this function as Expected Default Frequency (EDF</w:t>
      </w:r>
      <w:r>
        <w:rPr>
          <w:b w:val="false"/>
          <w:bCs w:val="false"/>
          <w:vertAlign w:val="superscript"/>
        </w:rPr>
        <w:t>TM</w:t>
      </w:r>
      <w:r>
        <w:rPr>
          <w:b w:val="false"/>
          <w:bCs w:val="false"/>
        </w:rPr>
        <w:t>).</w:t>
      </w:r>
    </w:p>
    <w:p>
      <w:pPr>
        <w:pStyle w:val="Heading"/>
        <w:jc w:val="start"/>
        <w:rPr>
          <w:b w:val="false"/>
          <w:bCs w:val="false"/>
        </w:rPr>
      </w:pPr>
      <w:r>
        <w:rPr>
          <w:b w:val="false"/>
          <w:bCs w:val="false"/>
        </w:rPr>
      </w:r>
    </w:p>
    <w:p>
      <w:pPr>
        <w:pStyle w:val="Heading"/>
        <w:jc w:val="start"/>
        <w:rPr/>
      </w:pPr>
      <w:r>
        <w:rPr>
          <w:b w:val="false"/>
          <w:bCs w:val="false"/>
        </w:rPr>
        <w:t xml:space="preserve">As we see, the only drivers of default probability are asset value, asset volatility and leverage. </w:t>
      </w:r>
      <w:r>
        <w:rPr/>
        <w:t>The model does not use other company specific information, for example profitability</w:t>
      </w:r>
      <w:r>
        <w:rPr>
          <w:b w:val="false"/>
          <w:bCs w:val="false"/>
        </w:rPr>
        <w:t xml:space="preserve">. </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pPr>
      <w:r>
        <w:rPr/>
        <w:t>Comments on the KMV approach</w:t>
      </w:r>
    </w:p>
    <w:p>
      <w:pPr>
        <w:pStyle w:val="Heading"/>
        <w:rPr/>
      </w:pPr>
      <w:r>
        <w:rPr/>
      </w:r>
    </w:p>
    <w:p>
      <w:pPr>
        <w:pStyle w:val="Normal"/>
        <w:rPr/>
      </w:pPr>
      <w:r>
        <w:rPr/>
        <w:t xml:space="preserve">There is an economic argument underlying the causes of default: Shareholders behave rationally and they will default the specific moment their assets fall to a sufficiently low level relative to their liabilities. Default probabilities are derived endogenously, from firm-specific factors, like asset value and leverage. However, </w:t>
      </w:r>
      <w:r>
        <w:rPr>
          <w:b/>
          <w:bCs/>
        </w:rPr>
        <w:t>KMV fails to capture other important factors</w:t>
      </w:r>
      <w:r>
        <w:rPr/>
        <w:t>:</w:t>
      </w:r>
    </w:p>
    <w:p>
      <w:pPr>
        <w:pStyle w:val="Normal"/>
        <w:rPr/>
      </w:pPr>
      <w:r>
        <w:rPr/>
      </w:r>
    </w:p>
    <w:p>
      <w:pPr>
        <w:pStyle w:val="Normal"/>
        <w:numPr>
          <w:ilvl w:val="0"/>
          <w:numId w:val="2"/>
        </w:numPr>
        <w:rPr/>
      </w:pPr>
      <w:r>
        <w:rPr>
          <w:b/>
          <w:bCs/>
        </w:rPr>
        <w:t>Profitability and future prospects of the firm are not explicitly modeled</w:t>
      </w:r>
      <w:r>
        <w:rPr/>
        <w:t>. Only asset value, asset volatility, and leverage affect the probability of default.</w:t>
      </w:r>
    </w:p>
    <w:p>
      <w:pPr>
        <w:pStyle w:val="Normal"/>
        <w:numPr>
          <w:ilvl w:val="0"/>
          <w:numId w:val="2"/>
        </w:numPr>
        <w:rPr/>
      </w:pPr>
      <w:r>
        <w:rPr>
          <w:b/>
          <w:bCs/>
        </w:rPr>
        <w:t>Macroeconomic factors that affect all firms are not modeled</w:t>
      </w:r>
      <w:r>
        <w:rPr/>
        <w:t xml:space="preserve">.  This means that if there is a broad market movement or market behavior change, it will affect how a specific firm is perceived even if nothing fundamental has changed with the firm.  </w:t>
      </w:r>
    </w:p>
    <w:p>
      <w:pPr>
        <w:pStyle w:val="Heading"/>
        <w:numPr>
          <w:ilvl w:val="0"/>
          <w:numId w:val="2"/>
        </w:numPr>
        <w:jc w:val="start"/>
        <w:rPr>
          <w:b w:val="false"/>
          <w:bCs w:val="false"/>
        </w:rPr>
      </w:pPr>
      <w:r>
        <w:rPr/>
        <w:t>Dynamics of inter-relationships and risks among firms are not explicitly modeled</w:t>
      </w:r>
      <w:r>
        <w:rPr>
          <w:b w:val="false"/>
          <w:bCs w:val="false"/>
        </w:rPr>
        <w:t>.</w:t>
      </w:r>
    </w:p>
    <w:p>
      <w:pPr>
        <w:pStyle w:val="Normal"/>
        <w:rPr/>
      </w:pPr>
      <w:r>
        <w:rPr/>
        <w:t xml:space="preserve"> </w:t>
      </w:r>
    </w:p>
    <w:p>
      <w:pPr>
        <w:pStyle w:val="Normal"/>
        <w:rPr/>
      </w:pPr>
      <w:r>
        <w:rPr/>
        <w:t>One may argue that these factors are already incorporated in the equity price. This is the strong assumption of perfect financial markets. Equity prices carry all publicly available information about the firm. One must accept the following:</w:t>
      </w:r>
    </w:p>
    <w:p>
      <w:pPr>
        <w:pStyle w:val="Normal"/>
        <w:rPr/>
      </w:pPr>
      <w:r>
        <w:rPr/>
      </w:r>
    </w:p>
    <w:p>
      <w:pPr>
        <w:pStyle w:val="Heading"/>
        <w:numPr>
          <w:ilvl w:val="0"/>
          <w:numId w:val="3"/>
        </w:numPr>
        <w:jc w:val="start"/>
        <w:rPr>
          <w:b w:val="false"/>
          <w:bCs w:val="false"/>
        </w:rPr>
      </w:pPr>
      <w:r>
        <w:rPr/>
        <w:t>We can derive the value of assets from the equity value we observe</w:t>
      </w:r>
      <w:r>
        <w:rPr>
          <w:b w:val="false"/>
          <w:bCs w:val="false"/>
        </w:rPr>
        <w:t>.</w:t>
      </w:r>
      <w:r>
        <w:rPr/>
        <w:t xml:space="preserve"> </w:t>
      </w:r>
      <w:r>
        <w:rPr>
          <w:b w:val="false"/>
          <w:bCs w:val="false"/>
        </w:rPr>
        <w:t>The problem is that the real asset value of the firm is neither tradable nor liquid. When it is revealed in mergers and acquisitions, it differs substantially from the value implied by equity prices.</w:t>
      </w:r>
    </w:p>
    <w:p>
      <w:pPr>
        <w:pStyle w:val="Normal"/>
        <w:numPr>
          <w:ilvl w:val="0"/>
          <w:numId w:val="1"/>
        </w:numPr>
        <w:rPr/>
      </w:pPr>
      <w:r>
        <w:rPr>
          <w:b/>
          <w:bCs/>
        </w:rPr>
        <w:t>The value of assets implied by equity prices is accurate</w:t>
      </w:r>
      <w:r>
        <w:rPr/>
        <w:t>. After the initial public offering of many e-commerce companies, KMV, based on equity price, would calculate a default probability similar to a AAA company. This was not an accurate assessment of their credit quality.</w:t>
      </w:r>
    </w:p>
    <w:p>
      <w:pPr>
        <w:pStyle w:val="Normal"/>
        <w:numPr>
          <w:ilvl w:val="0"/>
          <w:numId w:val="1"/>
        </w:numPr>
        <w:rPr/>
      </w:pPr>
      <w:r>
        <w:rPr>
          <w:b/>
          <w:bCs/>
        </w:rPr>
        <w:t>The volatility of assets implied by equity prices is accurate</w:t>
      </w:r>
      <w:r>
        <w:rPr/>
        <w:t>. Actually a sudden change in the market would cause a significant increase in the default probability. However, the true assets do not change so rapidly.</w:t>
      </w:r>
    </w:p>
    <w:p>
      <w:pPr>
        <w:pStyle w:val="Normal"/>
        <w:rPr/>
      </w:pPr>
      <w:r>
        <w:rPr/>
      </w:r>
    </w:p>
    <w:p>
      <w:pPr>
        <w:pStyle w:val="Normal"/>
        <w:rPr/>
      </w:pPr>
      <w:r>
        <w:rPr/>
        <w:t>These assumptions are unrealistic. We do not know either asset value or asset volatility. Things are not clear for the debt of the company as well. Two important assumptions are:</w:t>
      </w:r>
    </w:p>
    <w:p>
      <w:pPr>
        <w:pStyle w:val="Normal"/>
        <w:rPr/>
      </w:pPr>
      <w:r>
        <w:rPr/>
      </w:r>
    </w:p>
    <w:p>
      <w:pPr>
        <w:pStyle w:val="Normal"/>
        <w:numPr>
          <w:ilvl w:val="0"/>
          <w:numId w:val="4"/>
        </w:numPr>
        <w:rPr/>
      </w:pPr>
      <w:r>
        <w:rPr>
          <w:b/>
          <w:bCs/>
        </w:rPr>
        <w:t>Default occurs only at the specific moments of cash outflows for debt repayments</w:t>
      </w:r>
      <w:r>
        <w:rPr/>
        <w:t>. This does not coincide with what we observe in practice, where default may occur as a surprise at any time. The reality of the market is that even highly rated firms may suddenly preannounce their intention of non-payment.</w:t>
      </w:r>
    </w:p>
    <w:p>
      <w:pPr>
        <w:pStyle w:val="Normal"/>
        <w:numPr>
          <w:ilvl w:val="0"/>
          <w:numId w:val="4"/>
        </w:numPr>
        <w:rPr/>
      </w:pPr>
      <w:r>
        <w:rPr>
          <w:b/>
          <w:bCs/>
        </w:rPr>
        <w:t>The value of the firm is independent of its capital structure</w:t>
      </w:r>
      <w:r>
        <w:rPr/>
        <w:t>. Due to tax shield benefits, firms often increase their leverage on purpose. This policy brings them closer to financial distress but it increases the value of assets through the generated tax shields.</w:t>
      </w:r>
    </w:p>
    <w:p>
      <w:pPr>
        <w:pStyle w:val="Normal"/>
        <w:rPr/>
      </w:pPr>
      <w:r>
        <w:rPr/>
      </w:r>
    </w:p>
    <w:p>
      <w:pPr>
        <w:pStyle w:val="Normal"/>
        <w:rPr/>
      </w:pPr>
      <w:r>
        <w:rPr/>
        <w:t>In conclusion, the KMV approach is simplistic, ignoring important drivers of credit quality, and relying upon unknowable parameters.</w:t>
      </w:r>
    </w:p>
    <w:p>
      <w:pPr>
        <w:pStyle w:val="Normal"/>
        <w:rPr/>
      </w:pPr>
      <w:r>
        <w:rPr/>
      </w:r>
    </w:p>
    <w:p>
      <w:pPr>
        <w:pStyle w:val="Normal"/>
        <w:rPr/>
      </w:pPr>
      <w:r>
        <w:rPr/>
      </w:r>
    </w:p>
    <w:p>
      <w:pPr>
        <w:pStyle w:val="Heading"/>
        <w:rPr/>
      </w:pPr>
      <w:r>
        <w:rPr/>
        <w:t>The Evaluation of EDF</w:t>
      </w:r>
      <w:r>
        <w:rPr>
          <w:vertAlign w:val="superscript"/>
        </w:rPr>
        <w:t>TM</w:t>
      </w:r>
      <w:r>
        <w:rPr/>
        <w:t xml:space="preserve"> for Enron Corp</w:t>
      </w:r>
    </w:p>
    <w:p>
      <w:pPr>
        <w:pStyle w:val="Heading"/>
        <w:rPr/>
      </w:pPr>
      <w:r>
        <w:rPr/>
      </w:r>
    </w:p>
    <w:p>
      <w:pPr>
        <w:pStyle w:val="Heading"/>
        <w:jc w:val="start"/>
        <w:rPr/>
      </w:pPr>
      <w:r>
        <w:rPr>
          <w:b w:val="false"/>
          <w:bCs w:val="false"/>
        </w:rPr>
        <w:t>From the enclosed diagram we see that KMV calculates the EDF</w:t>
      </w:r>
      <w:r>
        <w:rPr>
          <w:b w:val="false"/>
          <w:bCs w:val="false"/>
          <w:vertAlign w:val="superscript"/>
        </w:rPr>
        <w:t>TM</w:t>
      </w:r>
      <w:r>
        <w:rPr>
          <w:b w:val="false"/>
          <w:bCs w:val="false"/>
        </w:rPr>
        <w:t xml:space="preserve"> for Enron to be 1.3% (July 2, 2001). That implies a credit rating that is in contrast with the BBB+ rating assigned by the established credit agencies (Moody’s, S&amp;P). </w:t>
      </w:r>
    </w:p>
    <w:p>
      <w:pPr>
        <w:pStyle w:val="Heading"/>
        <w:jc w:val="start"/>
        <w:rPr>
          <w:b w:val="false"/>
          <w:bCs w:val="false"/>
        </w:rPr>
      </w:pPr>
      <w:r>
        <w:rPr>
          <w:b w:val="false"/>
          <w:bCs w:val="false"/>
        </w:rPr>
      </w:r>
    </w:p>
    <w:p>
      <w:pPr>
        <w:pStyle w:val="Heading"/>
        <w:jc w:val="start"/>
        <w:rPr>
          <w:b w:val="false"/>
          <w:bCs w:val="false"/>
        </w:rPr>
      </w:pPr>
      <w:r>
        <w:rPr>
          <w:b w:val="false"/>
          <w:bCs w:val="false"/>
        </w:rPr>
        <w:t>It is interesting to note that Moody’s RiskCalc, that provides a mapping to a Bond Rating similar to an EDF, is also recently suggesting a lower rating for Enron than BBB+.  The main drivers for this change from Moody’s RiskCalc seem to be Size and Return On Assets.  Moody’s RiskCalc is a regression model that uses ratings (when available), financial statements information, and market data.  We note here that Moody’s model is suggesting a lower rating for many other energy companies as well, suggesting that it may not be capturing the behavior of the sector very well.</w:t>
      </w:r>
    </w:p>
    <w:p>
      <w:pPr>
        <w:pStyle w:val="Heading"/>
        <w:jc w:val="start"/>
        <w:rPr>
          <w:b w:val="false"/>
          <w:bCs w:val="false"/>
        </w:rPr>
      </w:pPr>
      <w:r>
        <w:rPr>
          <w:b w:val="false"/>
          <w:bCs w:val="false"/>
        </w:rPr>
      </w:r>
    </w:p>
    <w:p>
      <w:pPr>
        <w:pStyle w:val="Heading"/>
        <w:jc w:val="start"/>
        <w:rPr/>
      </w:pPr>
      <w:r>
        <w:rPr>
          <w:b w:val="false"/>
          <w:bCs w:val="false"/>
        </w:rPr>
        <w:t>We observe that the EDF</w:t>
      </w:r>
      <w:r>
        <w:rPr>
          <w:b w:val="false"/>
          <w:bCs w:val="false"/>
          <w:vertAlign w:val="superscript"/>
        </w:rPr>
        <w:t>TM</w:t>
      </w:r>
      <w:r>
        <w:rPr>
          <w:b w:val="false"/>
          <w:bCs w:val="false"/>
        </w:rPr>
        <w:t xml:space="preserve"> rises as the stock market price of Enron falls. This is as expected, since the value of the assets becomes smaller and therefore the distance to default measure becomes smaller. However, the EDF</w:t>
      </w:r>
      <w:r>
        <w:rPr>
          <w:b w:val="false"/>
          <w:bCs w:val="false"/>
          <w:vertAlign w:val="superscript"/>
        </w:rPr>
        <w:t>TM</w:t>
      </w:r>
      <w:r>
        <w:rPr>
          <w:b w:val="false"/>
          <w:bCs w:val="false"/>
        </w:rPr>
        <w:t xml:space="preserve"> measure jumps very substantially at the middle of May 2001 from 0.5% to 1.2%. The stock market price of Enron did not exhibit a similar jump. This may have been triggered by change in the stock volatility. However, the real assets of Enron did not exhibit a significant change at the time.</w:t>
      </w:r>
    </w:p>
    <w:p>
      <w:pPr>
        <w:pStyle w:val="Normal"/>
        <w:rPr>
          <w:b/>
          <w:bCs/>
        </w:rPr>
      </w:pPr>
      <w:r>
        <w:rPr>
          <w:b/>
          <w:bCs/>
        </w:rPr>
      </w:r>
    </w:p>
    <w:p>
      <w:pPr>
        <w:pStyle w:val="Normal"/>
        <w:rPr/>
      </w:pPr>
      <w:r>
        <w:rPr/>
        <w:t xml:space="preserve">Finally, Enron is a diversified company doing business in many different areas. </w:t>
      </w:r>
      <w:r>
        <w:rPr>
          <w:b/>
          <w:bCs/>
        </w:rPr>
        <w:t>It is not clear that the use of a predetermined table of historical behavior of firms to calculate EDF is appropriate for Enron</w:t>
      </w:r>
      <w:r>
        <w:rPr/>
        <w:t>, as we do not know what kind of firms are in that table in contrast to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2001-07-16T11:29:00Z</dcterms:created>
  <dc:creator>kfrantze</dc:creator>
  <dc:description/>
  <dc:language>en-CA</dc:language>
  <cp:lastModifiedBy>vshanbh</cp:lastModifiedBy>
  <cp:lastPrinted>2001-07-16T09:11:00Z</cp:lastPrinted>
  <dcterms:modified xsi:type="dcterms:W3CDTF">2001-07-16T12:13:00Z</dcterms:modified>
  <cp:revision>6</cp:revision>
  <dc:subject/>
  <dc:title>Estimating default probabilities: The KMV approach</dc:title>
</cp:coreProperties>
</file>