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Heading1"/>
        <w:ind w:hanging="0" w:start="0"/>
        <w:jc w:val="center"/>
        <w:rPr>
          <w:b/>
          <w:sz w:val="44"/>
        </w:rPr>
      </w:pPr>
      <w:r>
        <w:rPr>
          <w:b/>
          <w:sz w:val="44"/>
        </w:rPr>
        <w:t>Strengthening KMA Energy Practice</w:t>
      </w:r>
    </w:p>
    <w:p>
      <w:pPr>
        <w:pStyle w:val="Normal"/>
        <w:rPr>
          <w:b/>
          <w:sz w:val="44"/>
        </w:rPr>
      </w:pPr>
      <w:r>
        <w:rPr>
          <w:b/>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Heading2"/>
        <w:ind w:hanging="0" w:start="0"/>
        <w:rPr/>
      </w:pPr>
      <w:r>
        <w:rPr/>
        <w:t>Rationale</w:t>
      </w:r>
    </w:p>
    <w:p>
      <w:pPr>
        <w:pStyle w:val="Normal"/>
        <w:rPr>
          <w:sz w:val="44"/>
        </w:rPr>
      </w:pPr>
      <w:r>
        <w:rPr>
          <w:sz w:val="44"/>
        </w:rPr>
      </w:r>
    </w:p>
    <w:p>
      <w:pPr>
        <w:pStyle w:val="Normal"/>
        <w:rPr>
          <w:sz w:val="44"/>
        </w:rPr>
      </w:pPr>
      <w:r>
        <w:rPr>
          <w:sz w:val="44"/>
        </w:rPr>
      </w:r>
    </w:p>
    <w:p>
      <w:pPr>
        <w:pStyle w:val="Normal"/>
        <w:rPr>
          <w:sz w:val="44"/>
        </w:rPr>
      </w:pPr>
      <w:r>
        <w:rPr>
          <w:sz w:val="44"/>
        </w:rPr>
        <w:t>Global economic slowdown – all markets performing poorly</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US competitive energy industry in shambles post Enron “collapse”</w:t>
      </w:r>
    </w:p>
    <w:p>
      <w:pPr>
        <w:pStyle w:val="Normal"/>
        <w:rPr>
          <w:sz w:val="44"/>
        </w:rPr>
      </w:pPr>
      <w:r>
        <w:rPr>
          <w:sz w:val="44"/>
        </w:rPr>
      </w:r>
    </w:p>
    <w:p>
      <w:pPr>
        <w:pStyle w:val="Normal"/>
        <w:numPr>
          <w:ilvl w:val="0"/>
          <w:numId w:val="3"/>
        </w:numPr>
        <w:tabs>
          <w:tab w:val="clear" w:pos="720"/>
          <w:tab w:val="left" w:pos="1440" w:leader="none"/>
        </w:tabs>
        <w:ind w:hanging="720" w:start="1440" w:end="0"/>
        <w:rPr>
          <w:sz w:val="44"/>
        </w:rPr>
      </w:pPr>
      <w:r>
        <w:rPr>
          <w:sz w:val="44"/>
        </w:rPr>
        <w:t>Primary culprit loss of “confidence”</w:t>
      </w:r>
    </w:p>
    <w:p>
      <w:pPr>
        <w:pStyle w:val="Normal"/>
        <w:numPr>
          <w:ilvl w:val="0"/>
          <w:numId w:val="3"/>
        </w:numPr>
        <w:tabs>
          <w:tab w:val="clear" w:pos="720"/>
          <w:tab w:val="left" w:pos="1440" w:leader="none"/>
        </w:tabs>
        <w:ind w:hanging="720" w:start="1440" w:end="0"/>
        <w:rPr>
          <w:sz w:val="44"/>
        </w:rPr>
      </w:pPr>
      <w:r>
        <w:rPr>
          <w:sz w:val="44"/>
        </w:rPr>
        <w:t>Financial markets questioning “core” trading and marketing business – US energy market facing near-term contraction</w:t>
      </w:r>
    </w:p>
    <w:p>
      <w:pPr>
        <w:pStyle w:val="Normal"/>
        <w:rPr>
          <w:sz w:val="44"/>
        </w:rPr>
      </w:pPr>
      <w:r>
        <w:rPr>
          <w:sz w:val="44"/>
        </w:rPr>
      </w:r>
    </w:p>
    <w:p>
      <w:pPr>
        <w:pStyle w:val="Normal"/>
        <w:rPr>
          <w:sz w:val="44"/>
        </w:rPr>
      </w:pPr>
      <w:r>
        <w:rPr>
          <w:sz w:val="44"/>
        </w:rPr>
        <w:br/>
        <w:t>Conclusion – Huge opportunity for foreign capital to buy and build</w:t>
      </w:r>
    </w:p>
    <w:p>
      <w:pPr>
        <w:pStyle w:val="Normal"/>
        <w:rPr>
          <w:sz w:val="44"/>
        </w:rPr>
      </w:pPr>
      <w:r>
        <w:rPr>
          <w:sz w:val="44"/>
        </w:rPr>
      </w:r>
    </w:p>
    <w:p>
      <w:pPr>
        <w:pStyle w:val="Normal"/>
        <w:rPr>
          <w:sz w:val="44"/>
        </w:rPr>
      </w:pPr>
      <w:r>
        <w:rPr>
          <w:sz w:val="44"/>
        </w:rPr>
      </w:r>
    </w:p>
    <w:p>
      <w:pPr>
        <w:pStyle w:val="Normal"/>
        <w:rPr>
          <w:sz w:val="44"/>
        </w:rPr>
      </w:pPr>
      <w:r>
        <w:rPr>
          <w:sz w:val="44"/>
        </w:rPr>
      </w:r>
    </w:p>
    <w:p>
      <w:pPr>
        <w:pStyle w:val="Heading3"/>
        <w:ind w:hanging="0" w:start="0"/>
        <w:rPr/>
      </w:pPr>
      <w:r>
        <w:rPr/>
        <w:t>Primary Risk Is Political</w:t>
      </w:r>
    </w:p>
    <w:p>
      <w:pPr>
        <w:pStyle w:val="Normal"/>
        <w:rPr>
          <w:sz w:val="44"/>
        </w:rPr>
      </w:pPr>
      <w:r>
        <w:rPr>
          <w:sz w:val="44"/>
        </w:rPr>
      </w:r>
    </w:p>
    <w:p>
      <w:pPr>
        <w:pStyle w:val="Normal"/>
        <w:rPr>
          <w:sz w:val="44"/>
        </w:rPr>
      </w:pPr>
      <w:r>
        <w:rPr>
          <w:sz w:val="44"/>
        </w:rPr>
        <w:t>Foreign capital faces tremendous hurdles in US, especially in energy industry</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Largest political fight is with local regulators, not FERC or SEC</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Market risk can be managed through timely and well priced acquistions</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Heading2"/>
        <w:ind w:hanging="0" w:start="0"/>
        <w:rPr/>
      </w:pPr>
      <w:r>
        <w:rPr/>
        <w:t>Core Practice Development</w:t>
      </w:r>
    </w:p>
    <w:p>
      <w:pPr>
        <w:pStyle w:val="Normal"/>
        <w:rPr>
          <w:sz w:val="44"/>
        </w:rPr>
      </w:pPr>
      <w:r>
        <w:rPr>
          <w:sz w:val="44"/>
        </w:rPr>
      </w:r>
    </w:p>
    <w:p>
      <w:pPr>
        <w:pStyle w:val="Normal"/>
        <w:rPr>
          <w:sz w:val="44"/>
        </w:rPr>
      </w:pPr>
      <w:r>
        <w:rPr>
          <w:sz w:val="44"/>
        </w:rPr>
        <w:t xml:space="preserve">Current Business Tactical Support </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r>
        <w:br w:type="page"/>
      </w:r>
    </w:p>
    <w:p>
      <w:pPr>
        <w:pStyle w:val="Normal"/>
        <w:rPr>
          <w:sz w:val="44"/>
        </w:rPr>
      </w:pPr>
      <w:r>
        <w:rPr>
          <w:sz w:val="44"/>
        </w:rPr>
        <w:t>Product Development</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r>
        <w:br w:type="page"/>
      </w:r>
    </w:p>
    <w:p>
      <w:pPr>
        <w:pStyle w:val="Normal"/>
        <w:rPr>
          <w:sz w:val="44"/>
        </w:rPr>
      </w:pPr>
      <w:r>
        <w:rPr>
          <w:sz w:val="44"/>
        </w:rPr>
        <w:t>Personnel Background</w:t>
      </w:r>
    </w:p>
    <w:p>
      <w:pPr>
        <w:pStyle w:val="Normal"/>
        <w:rPr>
          <w:sz w:val="44"/>
        </w:rPr>
      </w:pPr>
      <w:r>
        <w:rPr>
          <w:sz w:val="44"/>
        </w:rPr>
      </w:r>
    </w:p>
    <w:p>
      <w:pPr>
        <w:pStyle w:val="Normal"/>
        <w:rPr>
          <w:sz w:val="44"/>
        </w:rPr>
      </w:pPr>
      <w:r>
        <w:rPr>
          <w:sz w:val="44"/>
        </w:rPr>
        <w:t>Richard S. Shapiro</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James D. Steffes</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r>
        <w:br w:type="page"/>
      </w:r>
    </w:p>
    <w:p>
      <w:pPr>
        <w:pStyle w:val="Normal"/>
        <w:rPr>
          <w:sz w:val="44"/>
        </w:rPr>
      </w:pPr>
      <w:r>
        <w:rPr>
          <w:sz w:val="44"/>
        </w:rPr>
        <w:t>Financial Estimates</w:t>
      </w:r>
    </w:p>
    <w:p>
      <w:pPr>
        <w:pStyle w:val="Normal"/>
        <w:rPr>
          <w:sz w:val="44"/>
        </w:rPr>
      </w:pPr>
      <w:r>
        <w:rPr>
          <w:sz w:val="44"/>
        </w:rPr>
      </w:r>
    </w:p>
    <w:p>
      <w:pPr>
        <w:pStyle w:val="Normal"/>
        <w:rPr>
          <w:sz w:val="44"/>
        </w:rPr>
      </w:pPr>
      <w:r>
        <w:rPr>
          <w:sz w:val="44"/>
        </w:rPr>
      </w:r>
    </w:p>
    <w:p>
      <w:pPr>
        <w:pStyle w:val="Normal"/>
        <w:rPr>
          <w:sz w:val="44"/>
        </w:rPr>
      </w:pPr>
      <w:r>
        <w:rPr>
          <w:sz w:val="44"/>
        </w:rPr>
      </w:r>
      <w:r>
        <w:br w:type="page"/>
      </w:r>
    </w:p>
    <w:p>
      <w:pPr>
        <w:pStyle w:val="Normal"/>
        <w:numPr>
          <w:ilvl w:val="0"/>
          <w:numId w:val="0"/>
        </w:numPr>
        <w:rPr>
          <w:sz w:val="44"/>
        </w:rPr>
      </w:pPr>
      <w:r>
        <w:rPr>
          <w:sz w:val="44"/>
        </w:rPr>
      </w:r>
      <w:r>
        <w:br w:type="page"/>
      </w:r>
    </w:p>
    <w:p>
      <w:pPr>
        <w:pStyle w:val="Normal"/>
        <w:rPr>
          <w:sz w:val="44"/>
        </w:rPr>
      </w:pPr>
      <w:r>
        <w:rPr>
          <w:sz w:val="44"/>
        </w:rPr>
        <w:t>Freeport MacMoRan paid Kissinger Associates a retainer of $200,000 and fees of $600,000, not to mention a promise of a two-percent commission on future earnings." Kissinger also became a well-paid member of its board of directors. In 1991 Kissinger helped Moffett close "a deal for a thirty-year license to continue exploiting" the Indonesian mining operation.</w:t>
        <w:br/>
      </w:r>
    </w:p>
    <w:p>
      <w:pPr>
        <w:pStyle w:val="Normal"/>
        <w:rPr>
          <w:sz w:val="44"/>
        </w:rPr>
      </w:pPr>
      <w:r>
        <w:rPr>
          <w:sz w:val="44"/>
        </w:rPr>
        <w:t>Since then he has been paid millions of dollars each and every year to advise such outfits as Freeport MacMoRan, ExxonMobil, UPS, IBM, and Delta Airlines. To keep the record straight, I should mention that there are now "two separate entities" that "work in conjunction" with each other: "Kissinger Associates, Inc.," based in New York, and the Washington, D.C.-based "Kissinger McClarty Associates." (The second name in the title belongs to Thomas F. McClarty III, who was President Clinton's chief of staff or senior adviser through most of his two terms. Of course, you were already aware that heart-warming bipartisanship is possible when big money is to be made</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Practice Development</w:t>
      </w:r>
    </w:p>
    <w:p>
      <w:pPr>
        <w:pStyle w:val="Normal"/>
        <w:rPr>
          <w:sz w:val="44"/>
        </w:rPr>
      </w:pPr>
      <w:r>
        <w:rPr>
          <w:sz w:val="44"/>
        </w:rPr>
      </w:r>
    </w:p>
    <w:p>
      <w:pPr>
        <w:pStyle w:val="Normal"/>
        <w:numPr>
          <w:ilvl w:val="0"/>
          <w:numId w:val="2"/>
        </w:numPr>
        <w:rPr>
          <w:sz w:val="44"/>
        </w:rPr>
      </w:pPr>
      <w:r>
        <w:rPr>
          <w:sz w:val="44"/>
        </w:rPr>
        <w:t>Energy Services Coalition at WTO</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t>Free Trade Area of the Americas by the end of 2005.</w:t>
      </w:r>
    </w:p>
    <w:p>
      <w:pPr>
        <w:pStyle w:val="Normal"/>
        <w:rPr>
          <w:sz w:val="44"/>
        </w:rPr>
      </w:pPr>
      <w:r>
        <w:rPr>
          <w:sz w:val="44"/>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Symbol" w:hAnsi="Symbol" w:cs="Symbol" w:hint="default"/>
      </w:rPr>
    </w:lvl>
  </w:abstractNum>
  <w:abstractNum w:abstractNumId="3">
    <w:lvl w:ilvl="0">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jc w:val="center"/>
      <w:outlineLvl w:val="1"/>
    </w:pPr>
    <w:rPr>
      <w:b/>
      <w:sz w:val="44"/>
    </w:rPr>
  </w:style>
  <w:style w:type="paragraph" w:styleId="Heading3">
    <w:name w:val="heading 3"/>
    <w:basedOn w:val="Normal"/>
    <w:next w:val="Normal"/>
    <w:qFormat/>
    <w:pPr>
      <w:keepNext w:val="true"/>
      <w:numPr>
        <w:ilvl w:val="2"/>
        <w:numId w:val="1"/>
      </w:numPr>
      <w:jc w:val="center"/>
      <w:outlineLvl w:val="2"/>
    </w:pPr>
    <w:rPr>
      <w:sz w:val="4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2001-12-23T00:34:00Z</dcterms:created>
  <dc:creator>Marianna &amp; Jim Steffes</dc:creator>
  <dc:description/>
  <dc:language>en-CA</dc:language>
  <cp:lastModifiedBy>Marianna &amp; Jim Steffes</cp:lastModifiedBy>
  <dcterms:modified xsi:type="dcterms:W3CDTF">2001-12-23T02:16:00Z</dcterms:modified>
  <cp:revision>1</cp:revision>
  <dc:subject/>
  <dc:title>Strengthening KMA Energy Practice</dc:title>
</cp:coreProperties>
</file>