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ACTION BY UNANIMOUS WRITTEN CONSENT</w:t>
      </w:r>
    </w:p>
    <w:p>
      <w:pPr>
        <w:pStyle w:val="Normal"/>
        <w:jc w:val="center"/>
        <w:rPr>
          <w:b/>
        </w:rPr>
      </w:pPr>
      <w:r>
        <w:rPr>
          <w:b/>
        </w:rPr>
        <w:t>OF THE BOARD OF DIRECTORS</w:t>
      </w:r>
    </w:p>
    <w:p>
      <w:pPr>
        <w:pStyle w:val="Normal"/>
        <w:jc w:val="center"/>
        <w:rPr>
          <w:b/>
        </w:rPr>
      </w:pPr>
      <w:r>
        <w:rPr>
          <w:b/>
        </w:rPr>
        <w:t>OF</w:t>
      </w:r>
    </w:p>
    <w:p>
      <w:pPr>
        <w:pStyle w:val="Normal"/>
        <w:jc w:val="center"/>
        <w:rPr>
          <w:b/>
        </w:rPr>
      </w:pPr>
      <w:r>
        <w:rPr>
          <w:b/>
        </w:rPr>
        <w:t>i2 TECHNOLOGIES, INC.</w:t>
      </w:r>
    </w:p>
    <w:p>
      <w:pPr>
        <w:pStyle w:val="Normal"/>
        <w:spacing w:before="0" w:after="480"/>
        <w:jc w:val="center"/>
        <w:rPr/>
      </w:pPr>
      <w:r>
        <w:rPr/>
        <w:t>(a Delaware corporation)</w:t>
      </w:r>
    </w:p>
    <w:p>
      <w:pPr>
        <w:pStyle w:val="Normal"/>
        <w:tabs>
          <w:tab w:val="clear" w:pos="720"/>
          <w:tab w:val="left" w:pos="-720" w:leader="none"/>
        </w:tabs>
        <w:suppressAutoHyphens w:val="true"/>
        <w:spacing w:lineRule="auto" w:line="480" w:before="0" w:after="240"/>
        <w:ind w:firstLine="1440" w:end="0"/>
        <w:rPr/>
      </w:pPr>
      <w:r>
        <w:rPr>
          <w:spacing w:val="-3"/>
        </w:rPr>
        <w:t>The undersigned, being all of the members of the Board of Directors (the “</w:t>
      </w:r>
      <w:r>
        <w:rPr>
          <w:i/>
          <w:spacing w:val="-3"/>
        </w:rPr>
        <w:t>Board</w:t>
      </w:r>
      <w:r>
        <w:rPr>
          <w:spacing w:val="-3"/>
        </w:rPr>
        <w:t>”) of i2 Technologies, Inc., a Delaware corporation (the “</w:t>
      </w:r>
      <w:r>
        <w:rPr>
          <w:i/>
          <w:spacing w:val="-3"/>
        </w:rPr>
        <w:t>Corporation</w:t>
      </w:r>
      <w:r>
        <w:rPr>
          <w:spacing w:val="-3"/>
        </w:rPr>
        <w:t xml:space="preserve">”), hereby execute this instrument to evidence their consent of the taking of the actions set forth herein, and the adoption of the following resolutions without the holding of a meeting under and in accordance with Section 141(f) of the Delaware General Corporation Law and </w:t>
      </w:r>
      <w:r>
        <w:rPr/>
        <w:t xml:space="preserve">Article III, </w:t>
      </w:r>
      <w:r>
        <w:rPr>
          <w:spacing w:val="-3"/>
        </w:rPr>
        <w:t>Section 3.13 of the Corporation’s Bylaws:</w:t>
      </w:r>
    </w:p>
    <w:p>
      <w:pPr>
        <w:pStyle w:val="Normal"/>
        <w:suppressAutoHyphens w:val="true"/>
        <w:spacing w:before="0" w:after="240"/>
        <w:ind w:start="720" w:end="0"/>
        <w:rPr>
          <w:b/>
        </w:rPr>
      </w:pPr>
      <w:r>
        <w:rPr>
          <w:b/>
          <w:u w:val="single"/>
        </w:rPr>
        <w:t>Indemnity Agreement with Kenneth L. Lay</w:t>
      </w:r>
    </w:p>
    <w:p>
      <w:pPr>
        <w:pStyle w:val="BodyText"/>
        <w:ind w:firstLine="720" w:start="720" w:end="0"/>
        <w:rPr/>
      </w:pPr>
      <w:r>
        <w:rPr>
          <w:b/>
        </w:rPr>
        <w:t>WHEREAS</w:t>
      </w:r>
      <w:r>
        <w:rPr/>
        <w:t>, Article VI, Section 6.1 of the Corporation’s Bylaws provide for the Corporation’s indemnification of its officers and directors to the maximum extent permitted by the Delaware General Corporation Law;</w:t>
      </w:r>
    </w:p>
    <w:p>
      <w:pPr>
        <w:pStyle w:val="BodyText"/>
        <w:ind w:firstLine="720" w:start="720" w:end="0"/>
        <w:rPr/>
      </w:pPr>
      <w:r>
        <w:rPr>
          <w:b/>
        </w:rPr>
        <w:t>WHEREAS</w:t>
      </w:r>
      <w:r>
        <w:rPr/>
        <w:t>, the Board of Directors has appointed Kenneth L. Lay as a Class I Director of the Corporation; and</w:t>
      </w:r>
    </w:p>
    <w:p>
      <w:pPr>
        <w:pStyle w:val="BodyText"/>
        <w:ind w:firstLine="720" w:start="720" w:end="0"/>
        <w:rPr/>
      </w:pPr>
      <w:r>
        <w:rPr>
          <w:b/>
        </w:rPr>
        <w:t>WHEREAS</w:t>
      </w:r>
      <w:r>
        <w:rPr/>
        <w:t>, the Corporation believes it is desirable and in the best interest of the Corporation to enter into an indemnification agreement with Mr. Lay in order to provide him with contractual indemnification protection; and</w:t>
      </w:r>
    </w:p>
    <w:p>
      <w:pPr>
        <w:pStyle w:val="BodyText"/>
        <w:ind w:firstLine="720" w:start="720" w:end="0"/>
        <w:rPr/>
      </w:pPr>
      <w:r>
        <w:rPr>
          <w:b/>
        </w:rPr>
        <w:t>WHEREAS</w:t>
      </w:r>
      <w:r>
        <w:rPr>
          <w:bCs/>
        </w:rPr>
        <w:t>, the consent of Mr. Lay, in connection with the foregoing, is not being considered part of this Action.</w:t>
      </w:r>
    </w:p>
    <w:p>
      <w:pPr>
        <w:pStyle w:val="ABodyText"/>
        <w:ind w:firstLine="720" w:start="720" w:end="0"/>
        <w:jc w:val="start"/>
        <w:rPr/>
      </w:pPr>
      <w:r>
        <w:rPr>
          <w:b/>
        </w:rPr>
        <w:t>BE IT RESOLVED,</w:t>
      </w:r>
      <w:r>
        <w:rPr/>
        <w:t xml:space="preserve"> that, the Indemnification Agreement between the Corporation and Mr. Lay attached hereto as </w:t>
      </w:r>
      <w:r>
        <w:rPr>
          <w:u w:val="single"/>
        </w:rPr>
        <w:t>Exhibit A</w:t>
      </w:r>
      <w:r>
        <w:rPr/>
        <w:t xml:space="preserve"> (the “</w:t>
      </w:r>
      <w:r>
        <w:rPr>
          <w:i/>
        </w:rPr>
        <w:t>Indemnification Agreement</w:t>
      </w:r>
      <w:r>
        <w:rPr/>
        <w:t>”) be, and it hereby is, approved in all respects; and further</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ABodyText"/>
        <w:ind w:firstLine="720" w:start="720" w:end="0"/>
        <w:jc w:val="start"/>
        <w:rPr/>
      </w:pPr>
      <w:r>
        <w:rPr>
          <w:b/>
        </w:rPr>
        <w:t>RESOLVED</w:t>
      </w:r>
      <w:r>
        <w:rPr/>
        <w:t>, that the officers of the Corporation be, and each of them hereby is, authorized and directed to execute and deliver the Indemnification Agreement on behalf of the Corporation.</w:t>
      </w:r>
    </w:p>
    <w:p>
      <w:pPr>
        <w:pStyle w:val="BodyTextIndent"/>
        <w:ind w:start="0" w:end="0"/>
        <w:rPr/>
      </w:pPr>
      <w:r>
        <w:rPr>
          <w:b/>
          <w:spacing w:val="-3"/>
        </w:rPr>
        <w:t>IN WITNESS WHEREOF,</w:t>
      </w:r>
      <w:r>
        <w:rPr>
          <w:spacing w:val="-3"/>
        </w:rPr>
        <w:t xml:space="preserve"> the undersigned have executed this Action By Unanimous Written Consent as of the ___ day of October, 2000.</w:t>
      </w:r>
    </w:p>
    <w:tbl>
      <w:tblPr>
        <w:tblW w:w="4788" w:type="dxa"/>
        <w:jc w:val="start"/>
        <w:tblInd w:w="4788" w:type="dxa"/>
        <w:tblLayout w:type="fixed"/>
        <w:tblCellMar>
          <w:top w:w="0" w:type="dxa"/>
          <w:start w:w="108" w:type="dxa"/>
          <w:bottom w:w="0" w:type="dxa"/>
          <w:end w:w="108" w:type="dxa"/>
        </w:tblCellMar>
      </w:tblPr>
      <w:tblGrid>
        <w:gridCol w:w="4788"/>
      </w:tblGrid>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Harvey B. Cash</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Thomas J. Meredith</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Sanjiv S. Sidhu</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Sandeep R. Tungare</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t xml:space="preserve">Romesh T. Wadhwani </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Kenneth L. Lay</w:t>
            </w:r>
          </w:p>
        </w:tc>
      </w:tr>
    </w:tbl>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Pr>
    </w:p>
    <w:p>
      <w:pPr>
        <w:pStyle w:val="Normal"/>
        <w:jc w:val="center"/>
        <w:rPr>
          <w:b/>
        </w:rPr>
      </w:pPr>
      <w:r>
        <w:rPr>
          <w:b/>
        </w:rPr>
        <w:t>EXHIBIT A</w:t>
      </w:r>
    </w:p>
    <w:p>
      <w:pPr>
        <w:pStyle w:val="Normal"/>
        <w:jc w:val="center"/>
        <w:rPr>
          <w:b/>
        </w:rPr>
      </w:pPr>
      <w:r>
        <w:rPr>
          <w:b/>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AUSLIB1\MTG\101335.01(266V01!.DOC)</w:t>
    </w:r>
    <w:r>
      <w:rPr>
        <w:smallCaps/>
        <w:sz w:val="12"/>
      </w:rPr>
      <w:fldChar w:fldCharType="end"/>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AUSLIB1\MTG\101335.01(266V01!.DOC)</w:t>
    </w:r>
    <w:r>
      <w:rPr>
        <w:smallCaps/>
        <w:sz w:val="12"/>
      </w:rPr>
      <w:fldChar w:fldCharType="end"/>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r>
    <w:r>
      <w:rPr>
        <w:smallCaps/>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AUSLIB1\MTG\101335.01(266V01!.DOC)</w:t>
    </w:r>
    <w:r>
      <w:rPr>
        <w:smallCaps/>
        <w:sz w:val="12"/>
      </w:rPr>
      <w:fldChar w:fldCharType="end"/>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r>
    <w:r>
      <w:rPr>
        <w:smallCaps/>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0026388.01"/>
    <w:docVar w:name="DOCX97_10" w:val="6/24/98 1:39:38 PM"/>
    <w:docVar w:name="DOCX97_11" w:val="2313"/>
    <w:docVar w:name="DOCX97_2" w:val="f:\auslib1\phil\0026388.01"/>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g:\auslib1\phil\0026388.01"/>
    <w:docVar w:name="DOCX97_40" w:val="YesBackTabs"/>
    <w:docVar w:name="DOCX97_42" w:val="0Footnotes"/>
    <w:docVar w:name="DOCX97_43" w:val="0Endnotes"/>
    <w:docVar w:name="DOCX97_45" w:val="1"/>
    <w:docVar w:name="DOCX97_46" w:val="1"/>
    <w:docVar w:name="DOCX97_47" w:val="1"/>
    <w:docVar w:name="DOCX97_48" w:val="1"/>
    <w:docVar w:name="DOCX97_49" w:val="11"/>
    <w:docVar w:name="DOCX97_5" w:val=" 78559"/>
    <w:docVar w:name="DOCX97_50" w:val="CG Times"/>
    <w:docVar w:name="DOCX97_51" w:val="NoDocType"/>
    <w:docVar w:name="DOCX97_52" w:val="Document"/>
    <w:docVar w:name="DOCX97_53" w:val="NoBoxes"/>
    <w:docVar w:name="DOCX97_54" w:val="YesLeading"/>
    <w:docVar w:name="DOCX97_55" w:val="12"/>
    <w:docVar w:name="DOCX97_58" w:val="GoodLabelDoc"/>
    <w:docVar w:name="DOCX97_59" w:val="8.5"/>
    <w:docVar w:name="DOCX97_6" w:val="31,744"/>
    <w:docVar w:name="DOCX97_60" w:val="YesAdvance"/>
    <w:docVar w:name="DOCX97_61" w:val="NoSpacers"/>
    <w:docVar w:name="DOCX97_62" w:val="YesPrivate"/>
    <w:docVar w:name="DOCX97_65" w:val="GoodChars"/>
    <w:docVar w:name="DOCX97_66" w:val="GoodQuotes"/>
    <w:docVar w:name="DOCX97_69" w:val="NoInternational"/>
    <w:docVar w:name="DOCX97_7" w:val="7/30/98 6:51:26 PM"/>
    <w:docVar w:name="DOCX97_8" w:val="7/30/98 6:52:07 PM"/>
    <w:docVar w:name="DOCX97_89" w:val="WordMacrosDone"/>
    <w:docVar w:name="DOCX97_90" w:val="DocX97WPDone"/>
    <w:docVar w:name="DOCX97_91" w:val="BrobeckP"/>
    <w:docVar w:name="DOCX97_92" w:val="7/30/98"/>
    <w:docVar w:name="DOCX97_93" w:val="6:52:14 PM"/>
    <w:docVar w:name="DOCX97_95" w:val="0026388"/>
    <w:docVar w:name="DOCX97_96" w:val="01"/>
    <w:docVar w:name="DocXParaNum" w:val="DocXParaNu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3z0">
    <w:name w:val="WW8Num3z0"/>
    <w:qFormat/>
    <w:rPr>
      <w:color w:val="000000"/>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style>
  <w:style w:type="character" w:styleId="PageNumber">
    <w:name w:val="page number"/>
    <w:basedOn w:val="DefaultParagraphFon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alutation">
    <w:name w:val="Salutation"/>
    <w:basedOn w:val="Normal"/>
    <w:next w:val="BodyText"/>
    <w:qFormat/>
    <w:pPr>
      <w:spacing w:before="0" w:after="240"/>
    </w:pPr>
    <w:rPr/>
  </w:style>
  <w:style w:type="paragraph" w:styleId="Address">
    <w:name w:val="Address"/>
    <w:basedOn w:val="Salutation"/>
    <w:qFormat/>
    <w:pPr/>
    <w:rPr/>
  </w:style>
  <w:style w:type="paragraph" w:styleId="bcc">
    <w:name w:val="bcc"/>
    <w:basedOn w:val="Normal"/>
    <w:qFormat/>
    <w:pPr>
      <w:pageBreakBefore/>
    </w:pPr>
    <w:rPr>
      <w:sz w:val="24"/>
    </w:rPr>
  </w:style>
  <w:style w:type="paragraph" w:styleId="BodyNumHang">
    <w:name w:val="BodyNumHang"/>
    <w:basedOn w:val="BodyText"/>
    <w:qFormat/>
    <w:pPr>
      <w:widowControl w:val="false"/>
      <w:numPr>
        <w:ilvl w:val="0"/>
        <w:numId w:val="5"/>
      </w:numPr>
      <w:tabs>
        <w:tab w:val="left" w:pos="720" w:leader="none"/>
      </w:tabs>
      <w:ind w:hanging="720" w:start="2160" w:end="0"/>
    </w:pPr>
    <w:rPr/>
  </w:style>
  <w:style w:type="paragraph" w:styleId="BodyLettersHang">
    <w:name w:val="BodyLettersHang"/>
    <w:basedOn w:val="BodyNumHang"/>
    <w:qFormat/>
    <w:pPr>
      <w:numPr>
        <w:ilvl w:val="0"/>
        <w:numId w:val="3"/>
      </w:numPr>
      <w:ind w:hanging="720" w:start="2160" w:end="0"/>
    </w:pPr>
    <w:rPr/>
  </w:style>
  <w:style w:type="paragraph" w:styleId="BodyLettersInd">
    <w:name w:val="BodyLettersInd"/>
    <w:basedOn w:val="Normal"/>
    <w:qFormat/>
    <w:pPr>
      <w:widowControl w:val="false"/>
      <w:numPr>
        <w:ilvl w:val="0"/>
        <w:numId w:val="2"/>
      </w:numPr>
      <w:spacing w:before="0" w:after="240"/>
      <w:ind w:firstLine="1440" w:start="0" w:end="0"/>
    </w:pPr>
    <w:rPr/>
  </w:style>
  <w:style w:type="paragraph" w:styleId="BodyNumInd">
    <w:name w:val="BodyNumInd"/>
    <w:basedOn w:val="BodyText"/>
    <w:qFormat/>
    <w:pPr>
      <w:widowControl w:val="false"/>
      <w:numPr>
        <w:ilvl w:val="0"/>
        <w:numId w:val="4"/>
      </w:numPr>
      <w:tabs>
        <w:tab w:val="left" w:pos="720" w:leader="none"/>
      </w:tabs>
      <w:ind w:firstLine="1440" w:start="0" w:end="0"/>
    </w:pPr>
    <w:rPr/>
  </w:style>
  <w:style w:type="paragraph" w:styleId="BodyTextInd">
    <w:name w:val="BodyTextInd"/>
    <w:basedOn w:val="BodyText"/>
    <w:qFormat/>
    <w:pPr>
      <w:ind w:hanging="0" w:start="1440" w:end="0"/>
    </w:pPr>
    <w:rPr/>
  </w:style>
  <w:style w:type="paragraph" w:styleId="BodyTextNoInd">
    <w:name w:val="BodyTextNoInd"/>
    <w:basedOn w:val="Normal"/>
    <w:qFormat/>
    <w:pPr>
      <w:spacing w:before="0" w:after="240"/>
    </w:pPr>
    <w:rPr/>
  </w:style>
  <w:style w:type="paragraph" w:styleId="CenteredHeading">
    <w:name w:val="Centered Heading"/>
    <w:basedOn w:val="Normal"/>
    <w:next w:val="BodyText"/>
    <w:qFormat/>
    <w:pPr>
      <w:widowControl w:val="false"/>
      <w:spacing w:before="0" w:after="240"/>
      <w:jc w:val="center"/>
    </w:pPr>
    <w:rPr/>
  </w:style>
  <w:style w:type="paragraph" w:styleId="Closing">
    <w:name w:val="Closing"/>
    <w:basedOn w:val="Normal"/>
    <w:qFormat/>
    <w:pPr>
      <w:spacing w:before="0" w:after="240"/>
      <w:ind w:hanging="0" w:start="4680" w:end="0"/>
    </w:pPr>
    <w:rPr/>
  </w:style>
  <w:style w:type="paragraph" w:styleId="Signature">
    <w:name w:val="Signature"/>
    <w:basedOn w:val="Normal"/>
    <w:pPr>
      <w:keepNext w:val="true"/>
      <w:keepLines/>
      <w:ind w:hanging="0" w:start="4680" w:end="0"/>
    </w:pPr>
    <w:rPr/>
  </w:style>
  <w:style w:type="paragraph" w:styleId="ClosingFirmName">
    <w:name w:val="ClosingFirmName"/>
    <w:basedOn w:val="Signature"/>
    <w:qFormat/>
    <w:pPr>
      <w:spacing w:before="0" w:after="960"/>
    </w:pPr>
    <w:rPr/>
  </w:style>
  <w:style w:type="paragraph" w:styleId="Date">
    <w:name w:val="Date"/>
    <w:basedOn w:val="Normal"/>
    <w:next w:val="Normal"/>
    <w:qFormat/>
    <w:pPr>
      <w:spacing w:before="0" w:after="480"/>
      <w:jc w:val="center"/>
    </w:pPr>
    <w:rPr>
      <w:sz w:val="24"/>
    </w:rPr>
  </w:style>
  <w:style w:type="paragraph" w:styleId="Discovery">
    <w:name w:val="Discovery"/>
    <w:basedOn w:val="Normal"/>
    <w:next w:val="BodyText"/>
    <w:qFormat/>
    <w:pPr>
      <w:widowControl w:val="false"/>
      <w:spacing w:lineRule="exact" w:line="480"/>
    </w:pPr>
    <w:rPr>
      <w:b/>
      <w:caps/>
    </w:rPr>
  </w:style>
  <w:style w:type="paragraph" w:styleId="DocX97Comment">
    <w:name w:val="DocX97Comment"/>
    <w:basedOn w:val="Normal"/>
    <w:qFormat/>
    <w:pPr/>
    <w:rPr>
      <w:b/>
      <w:i/>
      <w:color w:val="FF0000"/>
      <w:sz w:val="16"/>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1080" w:leader="none"/>
      </w:tabs>
      <w:ind w:firstLine="720" w:start="0" w:end="0"/>
    </w:pPr>
    <w:rPr>
      <w:sz w:val="20"/>
    </w:rPr>
  </w:style>
  <w:style w:type="paragraph" w:styleId="Header">
    <w:name w:val="header"/>
    <w:basedOn w:val="Normal"/>
    <w:pPr>
      <w:tabs>
        <w:tab w:val="clear" w:pos="720"/>
        <w:tab w:val="center" w:pos="4320" w:leader="none"/>
        <w:tab w:val="right" w:pos="8640" w:leader="none"/>
      </w:tabs>
    </w:pPr>
    <w:rPr/>
  </w:style>
  <w:style w:type="paragraph" w:styleId="LeftHeading">
    <w:name w:val="Left Heading"/>
    <w:basedOn w:val="BodyText"/>
    <w:next w:val="BodyText"/>
    <w:qFormat/>
    <w:pPr>
      <w:widowControl w:val="false"/>
      <w:ind w:hanging="0" w:start="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NormalIndent">
    <w:name w:val="Normal Indent"/>
    <w:basedOn w:val="Normal"/>
    <w:qFormat/>
    <w:pPr>
      <w:ind w:hanging="0" w:start="720" w:end="0"/>
    </w:pPr>
    <w:rPr/>
  </w:style>
  <w:style w:type="paragraph" w:styleId="QuoteS">
    <w:name w:val="QuoteS"/>
    <w:basedOn w:val="Normal"/>
    <w:next w:val="BodyText"/>
    <w:qFormat/>
    <w:pPr>
      <w:widowControl w:val="false"/>
      <w:spacing w:before="0" w:after="240"/>
      <w:ind w:hanging="0" w:start="1440" w:end="1440"/>
    </w:pPr>
    <w:rPr/>
  </w:style>
  <w:style w:type="paragraph" w:styleId="QuoteD">
    <w:name w:val="QuoteD"/>
    <w:basedOn w:val="QuoteS"/>
    <w:qFormat/>
    <w:pPr>
      <w:spacing w:lineRule="auto" w:line="480" w:before="0" w:after="0"/>
    </w:pPr>
    <w:rPr/>
  </w:style>
  <w:style w:type="paragraph" w:styleId="Regarding">
    <w:name w:val="Regarding"/>
    <w:basedOn w:val="Normal"/>
    <w:next w:val="Salutation"/>
    <w:qFormat/>
    <w:pPr>
      <w:spacing w:before="240" w:after="240"/>
      <w:ind w:hanging="720" w:start="2160" w:end="0"/>
    </w:pPr>
    <w:rPr/>
  </w:style>
  <w:style w:type="paragraph" w:styleId="RightHeading">
    <w:name w:val="Right Heading"/>
    <w:basedOn w:val="LeftHeading"/>
    <w:next w:val="BodyText"/>
    <w:qFormat/>
    <w:pPr>
      <w:jc w:val="end"/>
    </w:pPr>
    <w:rPr/>
  </w:style>
  <w:style w:type="paragraph" w:styleId="SignatureName">
    <w:name w:val="SignatureName"/>
    <w:basedOn w:val="Signature"/>
    <w:qFormat/>
    <w:pPr>
      <w:spacing w:before="0" w:after="240"/>
      <w:ind w:hanging="0" w:start="5040" w:end="0"/>
    </w:pPr>
    <w:rPr/>
  </w:style>
  <w:style w:type="paragraph" w:styleId="TOC1">
    <w:name w:val="toc 1"/>
    <w:basedOn w:val="Normal"/>
    <w:next w:val="Normal"/>
    <w:pPr>
      <w:ind w:hanging="0" w:start="0" w:end="720"/>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880" w:end="720"/>
    </w:pPr>
    <w:rPr/>
  </w:style>
  <w:style w:type="paragraph" w:styleId="TOC6">
    <w:name w:val="toc 6"/>
    <w:basedOn w:val="Normal"/>
    <w:next w:val="Normal"/>
    <w:pPr>
      <w:ind w:hanging="0" w:start="3600" w:end="720"/>
    </w:pPr>
    <w:rPr/>
  </w:style>
  <w:style w:type="paragraph" w:styleId="TOC7">
    <w:name w:val="toc 7"/>
    <w:basedOn w:val="Normal"/>
    <w:next w:val="Normal"/>
    <w:pPr>
      <w:ind w:hanging="0" w:start="4320" w:end="720"/>
    </w:pPr>
    <w:rPr/>
  </w:style>
  <w:style w:type="paragraph" w:styleId="TOC8">
    <w:name w:val="toc 8"/>
    <w:basedOn w:val="Normal"/>
    <w:next w:val="Normal"/>
    <w:pPr>
      <w:ind w:hanging="0" w:start="5040" w:end="720"/>
    </w:pPr>
    <w:rPr/>
  </w:style>
  <w:style w:type="paragraph" w:styleId="TOC9">
    <w:name w:val="toc 9"/>
    <w:basedOn w:val="Normal"/>
    <w:next w:val="Normal"/>
    <w:pPr>
      <w:ind w:hanging="0" w:start="1920" w:end="0"/>
    </w:pPr>
    <w:rPr/>
  </w:style>
  <w:style w:type="paragraph" w:styleId="WPComment">
    <w:name w:val="WPComment"/>
    <w:basedOn w:val="BodyText"/>
    <w:qFormat/>
    <w:pPr>
      <w:ind w:hanging="0" w:start="0" w:end="0"/>
    </w:pPr>
    <w:rPr>
      <w:vanish/>
      <w:color w:val="FF0000"/>
    </w:rPr>
  </w:style>
  <w:style w:type="paragraph" w:styleId="DateCentered">
    <w:name w:val="DateCentered"/>
    <w:basedOn w:val="Normal"/>
    <w:qFormat/>
    <w:pPr>
      <w:spacing w:lineRule="auto" w:line="480" w:before="0" w:after="240"/>
      <w:jc w:val="center"/>
    </w:pPr>
    <w:rPr/>
  </w:style>
  <w:style w:type="paragraph" w:styleId="InsideAddress">
    <w:name w:val="InsideAddress"/>
    <w:basedOn w:val="Normal"/>
    <w:next w:val="Normal"/>
    <w:qFormat/>
    <w:pPr/>
    <w:rPr/>
  </w:style>
  <w:style w:type="paragraph" w:styleId="ViaLine">
    <w:name w:val="ViaLine"/>
    <w:basedOn w:val="Normal"/>
    <w:qFormat/>
    <w:pPr>
      <w:tabs>
        <w:tab w:val="clear" w:pos="720"/>
        <w:tab w:val="right" w:pos="9360" w:leader="none"/>
      </w:tabs>
      <w:spacing w:before="0" w:after="240"/>
    </w:pPr>
    <w:rPr>
      <w:b/>
      <w:u w:val="single"/>
    </w:rPr>
  </w:style>
  <w:style w:type="paragraph" w:styleId="Aanchorsectionbreak">
    <w:name w:val="A anchor section break"/>
    <w:qFormat/>
    <w:pPr>
      <w:widowControl/>
      <w:bidi w:val="0"/>
    </w:pPr>
    <w:rPr>
      <w:rFonts w:ascii="Times New Roman" w:hAnsi="Times New Roman" w:eastAsia="Times New Roman" w:cs="Times New Roman"/>
      <w:color w:val="auto"/>
      <w:sz w:val="20"/>
      <w:szCs w:val="20"/>
      <w:lang w:val="en-US" w:eastAsia="en-CA" w:bidi="ar-SA"/>
    </w:rPr>
  </w:style>
  <w:style w:type="paragraph" w:styleId="ABodyText">
    <w:name w:val="A Body Text"/>
    <w:basedOn w:val="Normal"/>
    <w:qFormat/>
    <w:pPr>
      <w:spacing w:before="0" w:after="240"/>
      <w:ind w:firstLine="1440" w:start="0" w:end="0"/>
      <w:jc w:val="both"/>
    </w:pPr>
    <w:rPr/>
  </w:style>
  <w:style w:type="paragraph" w:styleId="AQuoteText">
    <w:name w:val="A Quote Text"/>
    <w:basedOn w:val="Normal"/>
    <w:qFormat/>
    <w:pPr>
      <w:spacing w:before="0" w:after="240"/>
      <w:ind w:firstLine="720" w:start="720" w:end="720"/>
      <w:jc w:val="both"/>
    </w:pPr>
    <w:rPr/>
  </w:style>
  <w:style w:type="paragraph" w:styleId="BodyTextIndent">
    <w:name w:val="Body Text Indent"/>
    <w:basedOn w:val="BodyText"/>
    <w:pPr>
      <w:ind w:firstLine="144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2000-10-13T19:16:00Z</dcterms:created>
  <dc:creator>MTG</dc:creator>
  <dc:description/>
  <dc:language>en-CA</dc:language>
  <cp:lastModifiedBy>Keith Larney</cp:lastModifiedBy>
  <cp:lastPrinted>2000-10-13T16:47:00Z</cp:lastPrinted>
  <dcterms:modified xsi:type="dcterms:W3CDTF">2000-10-13T19:17:00Z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property>
  <property fmtid="{D5CDD505-2E9C-101B-9397-08002B2CF9AE}" pid="3" name="Caption Bank Document">
    <vt:lpwstr/>
  </property>
  <property fmtid="{D5CDD505-2E9C-101B-9397-08002B2CF9AE}" pid="4" name="Cause No.">
    <vt:lpwstr/>
  </property>
  <property fmtid="{D5CDD505-2E9C-101B-9397-08002B2CF9AE}" pid="5" name="Client Name">
    <vt:lpwstr>I2 TECHNOLOGIES, INC.</vt:lpwstr>
  </property>
  <property fmtid="{D5CDD505-2E9C-101B-9397-08002B2CF9AE}" pid="6" name="Client No.">
    <vt:lpwstr>023547</vt:lpwstr>
  </property>
  <property fmtid="{D5CDD505-2E9C-101B-9397-08002B2CF9AE}" pid="7" name="Date">
    <vt:lpwstr/>
  </property>
  <property fmtid="{D5CDD505-2E9C-101B-9397-08002B2CF9AE}" pid="8" name="Doc Name">
    <vt:lpwstr/>
  </property>
  <property fmtid="{D5CDD505-2E9C-101B-9397-08002B2CF9AE}" pid="9" name="Doc No.">
    <vt:lpwstr>AUSLIB1\MTG\101335.01(266V01!.DOC)</vt:lpwstr>
  </property>
  <property fmtid="{D5CDD505-2E9C-101B-9397-08002B2CF9AE}" pid="10" name="Doc Path">
    <vt:lpwstr/>
  </property>
  <property fmtid="{D5CDD505-2E9C-101B-9397-08002B2CF9AE}" pid="11" name="Document Type">
    <vt:lpwstr/>
  </property>
  <property fmtid="{D5CDD505-2E9C-101B-9397-08002B2CF9AE}" pid="12" name="DocumentType">
    <vt:lpwstr>   </vt:lpwstr>
  </property>
  <property fmtid="{D5CDD505-2E9C-101B-9397-08002B2CF9AE}" pid="13" name="FooterStore">
    <vt:lpwstr/>
  </property>
  <property fmtid="{D5CDD505-2E9C-101B-9397-08002B2CF9AE}" pid="14" name="Local Office">
    <vt:lpwstr/>
  </property>
  <property fmtid="{D5CDD505-2E9C-101B-9397-08002B2CF9AE}" pid="15" name="Matter Name">
    <vt:lpwstr>GENERAL</vt:lpwstr>
  </property>
  <property fmtid="{D5CDD505-2E9C-101B-9397-08002B2CF9AE}" pid="16" name="Matter No.">
    <vt:lpwstr>0001</vt:lpwstr>
  </property>
  <property fmtid="{D5CDD505-2E9C-101B-9397-08002B2CF9AE}" pid="17" name="Orig Doc Path">
    <vt:lpwstr/>
  </property>
  <property fmtid="{D5CDD505-2E9C-101B-9397-08002B2CF9AE}" pid="18" name="Parties">
    <vt:lpwstr/>
  </property>
  <property fmtid="{D5CDD505-2E9C-101B-9397-08002B2CF9AE}" pid="19" name="Signer(s)">
    <vt:lpwstr/>
  </property>
</Properties>
</file>