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val="false"/>
          <w:bCs w:val="false"/>
        </w:rPr>
      </w:pPr>
      <w:r>
        <w:rPr/>
        <w:t>Themes on General Energy Issues for KLL</w:t>
      </w:r>
    </w:p>
    <w:p>
      <w:pPr>
        <w:pStyle w:val="Heading"/>
        <w:jc w:val="end"/>
        <w:rPr>
          <w:b w:val="false"/>
          <w:bCs w:val="false"/>
          <w:sz w:val="16"/>
        </w:rPr>
      </w:pPr>
      <w:r>
        <w:rPr>
          <w:b w:val="false"/>
          <w:bCs w:val="false"/>
          <w:sz w:val="16"/>
        </w:rPr>
        <w:t>RLB—Sept. 26, 2001</w:t>
      </w:r>
    </w:p>
    <w:p>
      <w:pPr>
        <w:pStyle w:val="Heading"/>
        <w:jc w:val="start"/>
        <w:rPr>
          <w:b w:val="false"/>
          <w:bCs w:val="false"/>
          <w:sz w:val="16"/>
        </w:rPr>
      </w:pPr>
      <w:r>
        <w:rPr>
          <w:b w:val="false"/>
          <w:bCs w:val="false"/>
          <w:sz w:val="16"/>
        </w:rPr>
      </w:r>
    </w:p>
    <w:p>
      <w:pPr>
        <w:pStyle w:val="Heading"/>
        <w:jc w:val="start"/>
        <w:rPr>
          <w:b w:val="false"/>
          <w:bCs w:val="false"/>
        </w:rPr>
      </w:pPr>
      <w:r>
        <w:rPr>
          <w:b w:val="false"/>
          <w:bCs w:val="false"/>
        </w:rPr>
      </w:r>
    </w:p>
    <w:p>
      <w:pPr>
        <w:pStyle w:val="Heading"/>
        <w:jc w:val="start"/>
        <w:rPr/>
      </w:pPr>
      <w:r>
        <w:rPr/>
        <w:t>I: Huge (and New) Energy Challenges</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numPr>
          <w:ilvl w:val="0"/>
          <w:numId w:val="9"/>
        </w:numPr>
        <w:jc w:val="start"/>
        <w:rPr>
          <w:b w:val="false"/>
          <w:bCs w:val="false"/>
        </w:rPr>
      </w:pPr>
      <w:r>
        <w:rPr>
          <w:b w:val="false"/>
          <w:bCs w:val="false"/>
        </w:rPr>
        <w:t xml:space="preserve">The U.S. Energy Information Administration predicts domestic energy demand over the next 20 years will increase by </w:t>
      </w:r>
      <w:r>
        <w:rPr/>
        <w:t>1.3% per year</w:t>
      </w:r>
      <w:r>
        <w:rPr>
          <w:b w:val="false"/>
          <w:bCs w:val="false"/>
        </w:rPr>
        <w:t xml:space="preserve"> with electricity growing at </w:t>
      </w:r>
      <w:r>
        <w:rPr/>
        <w:t>1.8% per annum</w:t>
      </w:r>
      <w:r>
        <w:rPr>
          <w:b w:val="false"/>
          <w:bCs w:val="false"/>
        </w:rPr>
        <w:t>.  This growth factors in an expected fall in energy intensity (increase in energy efficiency) of 1.8% per year.</w:t>
      </w:r>
      <w:r>
        <w:rPr>
          <w:rStyle w:val="FootnoteCharacters"/>
          <w:rStyle w:val="FootnoteReference"/>
          <w:b/>
          <w:bCs/>
        </w:rPr>
        <w:footnoteReference w:id="2"/>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numPr>
          <w:ilvl w:val="0"/>
          <w:numId w:val="9"/>
        </w:numPr>
        <w:jc w:val="start"/>
        <w:rPr>
          <w:b w:val="false"/>
          <w:bCs w:val="false"/>
        </w:rPr>
      </w:pPr>
      <w:r>
        <w:rPr>
          <w:b w:val="false"/>
          <w:bCs w:val="false"/>
        </w:rPr>
        <w:t>Global energy demand is forecast to increase at the faster rate of 2.2% per year, with power growth at 2.7% per year.  This growth partly reflects the “catch up” of 1.6 billion persons that do not enjoy electricity or other modern forms of energy in an increasingly global economy.</w:t>
      </w:r>
    </w:p>
    <w:p>
      <w:pPr>
        <w:pStyle w:val="Heading"/>
        <w:ind w:start="360" w:end="0"/>
        <w:jc w:val="start"/>
        <w:rPr>
          <w:b w:val="false"/>
          <w:bCs w:val="false"/>
        </w:rPr>
      </w:pPr>
      <w:r>
        <w:rPr>
          <w:b w:val="false"/>
          <w:bCs w:val="false"/>
        </w:rPr>
      </w:r>
    </w:p>
    <w:p>
      <w:pPr>
        <w:pStyle w:val="Heading"/>
        <w:ind w:start="360" w:end="0"/>
        <w:jc w:val="start"/>
        <w:rPr>
          <w:b w:val="false"/>
          <w:bCs w:val="false"/>
        </w:rPr>
      </w:pPr>
      <w:r>
        <w:rPr>
          <w:b w:val="false"/>
          <w:bCs w:val="false"/>
        </w:rPr>
      </w:r>
    </w:p>
    <w:p>
      <w:pPr>
        <w:pStyle w:val="Heading"/>
        <w:numPr>
          <w:ilvl w:val="0"/>
          <w:numId w:val="9"/>
        </w:numPr>
        <w:jc w:val="start"/>
        <w:rPr>
          <w:b w:val="false"/>
          <w:bCs w:val="false"/>
        </w:rPr>
      </w:pPr>
      <w:r>
        <w:rPr>
          <w:b w:val="false"/>
          <w:bCs w:val="false"/>
        </w:rPr>
        <w:t>Much new power plant capacity will be needed in the next two decades, although near term forecasts may be scaled back due to recent events.</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numPr>
          <w:ilvl w:val="0"/>
          <w:numId w:val="9"/>
        </w:numPr>
        <w:jc w:val="start"/>
        <w:rPr>
          <w:b w:val="false"/>
          <w:bCs w:val="false"/>
        </w:rPr>
      </w:pPr>
      <w:r>
        <w:rPr>
          <w:b w:val="false"/>
          <w:bCs w:val="false"/>
        </w:rPr>
        <w:t>This electricity must be of very high (“high nines”) quality.  “Dirty power,” or power subject to momentary interruptions, is not sufficient in the digital age.</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numPr>
          <w:ilvl w:val="0"/>
          <w:numId w:val="9"/>
        </w:numPr>
        <w:jc w:val="start"/>
        <w:rPr>
          <w:b w:val="false"/>
          <w:bCs w:val="false"/>
        </w:rPr>
      </w:pPr>
      <w:r>
        <w:rPr/>
        <w:t>Natural gas</w:t>
      </w:r>
      <w:r>
        <w:rPr>
          <w:b w:val="false"/>
          <w:bCs w:val="false"/>
        </w:rPr>
        <w:t xml:space="preserve"> will be an important part of this growth.  The EIA estimates that 1,310 new powerplants will be needed over the next 20 years (300 MW per plant for a total of 393 GW).  An estimated 92% of this new capacity is anticipated to be gas-fired (6% coal fired; 2% other).  This is why projected natural gas demand growth of </w:t>
      </w:r>
      <w:r>
        <w:rPr/>
        <w:t>2.3% per year</w:t>
      </w:r>
      <w:r>
        <w:rPr>
          <w:b w:val="false"/>
          <w:bCs w:val="false"/>
        </w:rPr>
        <w:t xml:space="preserve"> is more than twice the rate of all other energies combined (1.05% per year).</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numPr>
          <w:ilvl w:val="0"/>
          <w:numId w:val="9"/>
        </w:numPr>
        <w:jc w:val="start"/>
        <w:rPr>
          <w:b w:val="false"/>
          <w:bCs w:val="false"/>
        </w:rPr>
      </w:pPr>
      <w:r>
        <w:rPr>
          <w:b w:val="false"/>
          <w:bCs w:val="false"/>
        </w:rPr>
        <w:t>In addition to the traditional statistics, a new energy security dimension has been added to the equation; not only with oil in an international sense, but now with North American natural gas and electricity infrastructure.</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pPr>
      <w:r>
        <w:rPr/>
        <w:t>II. Getting More from More</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numPr>
          <w:ilvl w:val="0"/>
          <w:numId w:val="6"/>
        </w:numPr>
        <w:jc w:val="start"/>
        <w:rPr>
          <w:b w:val="false"/>
          <w:bCs w:val="false"/>
        </w:rPr>
      </w:pPr>
      <w:r>
        <w:rPr>
          <w:b w:val="false"/>
          <w:bCs w:val="false"/>
        </w:rPr>
        <w:t>Two parts of the energy challenge</w:t>
      </w:r>
    </w:p>
    <w:p>
      <w:pPr>
        <w:pStyle w:val="Heading"/>
        <w:jc w:val="start"/>
        <w:rPr>
          <w:b w:val="false"/>
          <w:bCs w:val="false"/>
        </w:rPr>
      </w:pPr>
      <w:r>
        <w:rPr>
          <w:b w:val="false"/>
          <w:bCs w:val="false"/>
        </w:rPr>
      </w:r>
    </w:p>
    <w:p>
      <w:pPr>
        <w:pStyle w:val="Heading"/>
        <w:numPr>
          <w:ilvl w:val="1"/>
          <w:numId w:val="6"/>
        </w:numPr>
        <w:jc w:val="start"/>
        <w:rPr>
          <w:b w:val="false"/>
          <w:bCs w:val="false"/>
        </w:rPr>
      </w:pPr>
      <w:r>
        <w:rPr>
          <w:b w:val="false"/>
          <w:bCs w:val="false"/>
        </w:rPr>
        <w:t>Building more to get more</w:t>
      </w:r>
    </w:p>
    <w:p>
      <w:pPr>
        <w:pStyle w:val="Heading"/>
        <w:jc w:val="start"/>
        <w:rPr>
          <w:b w:val="false"/>
          <w:bCs w:val="false"/>
        </w:rPr>
      </w:pPr>
      <w:r>
        <w:rPr>
          <w:b w:val="false"/>
          <w:bCs w:val="false"/>
        </w:rPr>
      </w:r>
    </w:p>
    <w:p>
      <w:pPr>
        <w:pStyle w:val="Heading"/>
        <w:numPr>
          <w:ilvl w:val="1"/>
          <w:numId w:val="6"/>
        </w:numPr>
        <w:jc w:val="start"/>
        <w:rPr>
          <w:b w:val="false"/>
          <w:bCs w:val="false"/>
        </w:rPr>
      </w:pPr>
      <w:r>
        <w:rPr>
          <w:b w:val="false"/>
          <w:bCs w:val="false"/>
        </w:rPr>
        <w:t>Getting more out of what we now have</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ind w:start="360" w:end="0"/>
        <w:jc w:val="start"/>
        <w:rPr/>
      </w:pPr>
      <w:r>
        <w:rPr/>
        <w:t>A. Building more infrastructure</w:t>
      </w:r>
    </w:p>
    <w:p>
      <w:pPr>
        <w:pStyle w:val="Heading"/>
        <w:jc w:val="start"/>
        <w:rPr/>
      </w:pPr>
      <w:r>
        <w:rPr/>
      </w:r>
    </w:p>
    <w:p>
      <w:pPr>
        <w:pStyle w:val="Heading"/>
        <w:jc w:val="start"/>
        <w:rPr>
          <w:b w:val="false"/>
          <w:bCs w:val="false"/>
        </w:rPr>
      </w:pPr>
      <w:r>
        <w:rPr>
          <w:b w:val="false"/>
          <w:bCs w:val="false"/>
        </w:rPr>
      </w:r>
    </w:p>
    <w:p>
      <w:pPr>
        <w:pStyle w:val="Heading"/>
        <w:numPr>
          <w:ilvl w:val="0"/>
          <w:numId w:val="2"/>
        </w:numPr>
        <w:jc w:val="start"/>
        <w:rPr>
          <w:b w:val="false"/>
          <w:bCs w:val="false"/>
        </w:rPr>
      </w:pPr>
      <w:r>
        <w:rPr>
          <w:b w:val="false"/>
          <w:bCs w:val="false"/>
        </w:rPr>
        <w:t>The Cheney/Bush National Energy Policy Report stated that “there are no short-term solutions to long-term neglect.”</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numPr>
          <w:ilvl w:val="0"/>
          <w:numId w:val="2"/>
        </w:numPr>
        <w:jc w:val="start"/>
        <w:rPr>
          <w:b w:val="false"/>
          <w:bCs w:val="false"/>
        </w:rPr>
      </w:pPr>
      <w:r>
        <w:rPr>
          <w:b w:val="false"/>
          <w:bCs w:val="false"/>
        </w:rPr>
        <w:t>There has been short-term neglect due to increasing regulatory burdens in fat times and the growing NIMBY problem from local residents, both Republican and Democrat.</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numPr>
          <w:ilvl w:val="0"/>
          <w:numId w:val="2"/>
        </w:numPr>
        <w:jc w:val="start"/>
        <w:rPr>
          <w:b w:val="false"/>
          <w:bCs w:val="false"/>
        </w:rPr>
      </w:pPr>
      <w:r>
        <w:rPr>
          <w:b w:val="false"/>
          <w:bCs w:val="false"/>
        </w:rPr>
        <w:t>This is why in today’s sudden time of need, heavy-handed proposals are being considered such as a federal eminent-domain law to supplement local and state siting rules.</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numPr>
          <w:ilvl w:val="0"/>
          <w:numId w:val="2"/>
        </w:numPr>
        <w:jc w:val="start"/>
        <w:rPr>
          <w:b w:val="false"/>
          <w:bCs w:val="false"/>
        </w:rPr>
      </w:pPr>
      <w:r>
        <w:rPr>
          <w:b w:val="false"/>
          <w:bCs w:val="false"/>
        </w:rPr>
        <w:t>In California, an infrastructure problem triggered wholesale price spikes that the regulatory and political structure was not equipped to handle.</w:t>
      </w:r>
    </w:p>
    <w:p>
      <w:pPr>
        <w:pStyle w:val="Heading"/>
        <w:jc w:val="start"/>
        <w:rPr>
          <w:b w:val="false"/>
          <w:bCs w:val="false"/>
        </w:rPr>
      </w:pPr>
      <w:r>
        <w:rPr>
          <w:b w:val="false"/>
          <w:bCs w:val="false"/>
        </w:rPr>
      </w:r>
    </w:p>
    <w:p>
      <w:pPr>
        <w:pStyle w:val="Heading"/>
        <w:jc w:val="start"/>
        <w:rPr/>
      </w:pPr>
      <w:r>
        <w:rPr/>
      </w:r>
    </w:p>
    <w:p>
      <w:pPr>
        <w:pStyle w:val="Heading"/>
        <w:numPr>
          <w:ilvl w:val="0"/>
          <w:numId w:val="2"/>
        </w:numPr>
        <w:jc w:val="start"/>
        <w:rPr>
          <w:b w:val="false"/>
          <w:bCs w:val="false"/>
        </w:rPr>
      </w:pPr>
      <w:r>
        <w:rPr>
          <w:b w:val="false"/>
          <w:bCs w:val="false"/>
        </w:rPr>
        <w:t>The industry challenge is to keep up with demand to avoid the types of supply/demand imbalances that inspire political intervention, which only makes things worse.</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numPr>
          <w:ilvl w:val="0"/>
          <w:numId w:val="2"/>
        </w:numPr>
        <w:jc w:val="start"/>
        <w:rPr>
          <w:b w:val="false"/>
          <w:bCs w:val="false"/>
        </w:rPr>
      </w:pPr>
      <w:r>
        <w:rPr>
          <w:b w:val="false"/>
          <w:bCs w:val="false"/>
        </w:rPr>
        <w:t>There is also an environmental issue with slower capital turnover in the energy industry—older plants use more energy and emit more pollutants per unit of electricity produced (an old California gas plant uses 40% more gas and emits between 60-85% more emissions per unit of electricity than new plants).</w:t>
      </w:r>
    </w:p>
    <w:p>
      <w:pPr>
        <w:pStyle w:val="Heading"/>
        <w:jc w:val="start"/>
        <w:rPr>
          <w:b w:val="false"/>
          <w:bCs w:val="false"/>
        </w:rPr>
      </w:pPr>
      <w:r>
        <w:rPr>
          <w:b w:val="false"/>
          <w:bCs w:val="false"/>
        </w:rPr>
      </w:r>
    </w:p>
    <w:p>
      <w:pPr>
        <w:pStyle w:val="Heading"/>
        <w:jc w:val="start"/>
        <w:rPr/>
      </w:pPr>
      <w:r>
        <w:rPr/>
      </w:r>
    </w:p>
    <w:p>
      <w:pPr>
        <w:pStyle w:val="Heading"/>
        <w:ind w:firstLine="360" w:end="0"/>
        <w:jc w:val="start"/>
        <w:rPr>
          <w:b w:val="false"/>
          <w:bCs w:val="false"/>
        </w:rPr>
      </w:pPr>
      <w:r>
        <w:rPr/>
        <w:t>B. Unlocking pure efficiencies from what we already have (“free lunches”)</w:t>
      </w:r>
    </w:p>
    <w:p>
      <w:pPr>
        <w:pStyle w:val="Heading"/>
        <w:jc w:val="start"/>
        <w:rPr>
          <w:b w:val="false"/>
          <w:bCs w:val="false"/>
        </w:rPr>
      </w:pPr>
      <w:r>
        <w:rPr>
          <w:b w:val="false"/>
          <w:bCs w:val="false"/>
        </w:rPr>
      </w:r>
    </w:p>
    <w:p>
      <w:pPr>
        <w:pStyle w:val="Heading"/>
        <w:numPr>
          <w:ilvl w:val="0"/>
          <w:numId w:val="5"/>
        </w:numPr>
        <w:jc w:val="start"/>
        <w:rPr>
          <w:b w:val="false"/>
          <w:bCs w:val="false"/>
        </w:rPr>
      </w:pPr>
      <w:r>
        <w:rPr>
          <w:b w:val="false"/>
          <w:bCs w:val="false"/>
        </w:rPr>
        <w:t>There is such a thing as a “free lunch,” although a lot of “lunches” advertised as free end up having a price tag of some sort.</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numPr>
          <w:ilvl w:val="0"/>
          <w:numId w:val="5"/>
        </w:numPr>
        <w:jc w:val="start"/>
        <w:rPr>
          <w:b w:val="false"/>
          <w:bCs w:val="false"/>
        </w:rPr>
      </w:pPr>
      <w:r>
        <w:rPr>
          <w:b w:val="false"/>
          <w:bCs w:val="false"/>
        </w:rPr>
        <w:t>The well-known economist Milton Friedman has emphasized that pure efficiencies from enlightened economic policy are akin to “free lunches”—despite the aphorism attributed to him, “there is no such thing as a free lunch.”</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numPr>
          <w:ilvl w:val="0"/>
          <w:numId w:val="5"/>
        </w:numPr>
        <w:jc w:val="start"/>
        <w:rPr>
          <w:b w:val="false"/>
          <w:bCs w:val="false"/>
        </w:rPr>
      </w:pPr>
      <w:r>
        <w:rPr>
          <w:b w:val="false"/>
          <w:bCs w:val="false"/>
        </w:rPr>
        <w:t xml:space="preserve">The single greatest reform in U.S. energy markets today may well be the current </w:t>
      </w:r>
      <w:r>
        <w:rPr/>
        <w:t>proposal by the FERC to implement five regional</w:t>
      </w:r>
      <w:r>
        <w:rPr>
          <w:b w:val="false"/>
          <w:bCs w:val="false"/>
        </w:rPr>
        <w:t xml:space="preserve"> </w:t>
      </w:r>
      <w:r>
        <w:rPr/>
        <w:t>transmission organizations</w:t>
      </w:r>
      <w:r>
        <w:rPr>
          <w:b w:val="false"/>
          <w:bCs w:val="false"/>
        </w:rPr>
        <w:t xml:space="preserve"> (RTOs) for Texas (ERCOT), the Northeast, the Southeast, the Midwest, and the West.</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numPr>
          <w:ilvl w:val="0"/>
          <w:numId w:val="5"/>
        </w:numPr>
        <w:jc w:val="start"/>
        <w:rPr>
          <w:b w:val="false"/>
          <w:bCs w:val="false"/>
        </w:rPr>
      </w:pPr>
      <w:r>
        <w:rPr>
          <w:b w:val="false"/>
          <w:bCs w:val="false"/>
        </w:rPr>
        <w:t xml:space="preserve">The rational for </w:t>
      </w:r>
      <w:r>
        <w:rPr>
          <w:b w:val="false"/>
          <w:bCs w:val="false"/>
          <w:i/>
          <w:iCs/>
        </w:rPr>
        <w:t>institutional integration</w:t>
      </w:r>
      <w:r>
        <w:rPr>
          <w:b w:val="false"/>
          <w:bCs w:val="false"/>
        </w:rPr>
        <w:t xml:space="preserve"> in addition to </w:t>
      </w:r>
      <w:r>
        <w:rPr>
          <w:b w:val="false"/>
          <w:bCs w:val="false"/>
          <w:i/>
          <w:iCs/>
        </w:rPr>
        <w:t>physical integration</w:t>
      </w:r>
      <w:r>
        <w:rPr>
          <w:b w:val="false"/>
          <w:bCs w:val="false"/>
        </w:rPr>
        <w:t xml:space="preserve"> of electric grids is to increase efficiency, reduce costs, improve reliability, and even enhance national security.</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numPr>
          <w:ilvl w:val="0"/>
          <w:numId w:val="5"/>
        </w:numPr>
        <w:jc w:val="start"/>
        <w:rPr>
          <w:b w:val="false"/>
          <w:bCs w:val="false"/>
        </w:rPr>
      </w:pPr>
      <w:r>
        <w:rPr>
          <w:b w:val="false"/>
          <w:bCs w:val="false"/>
        </w:rPr>
        <w:t>Today, something is broken:</w:t>
      </w:r>
    </w:p>
    <w:p>
      <w:pPr>
        <w:pStyle w:val="Heading"/>
        <w:ind w:start="360" w:end="0"/>
        <w:jc w:val="start"/>
        <w:rPr>
          <w:b w:val="false"/>
          <w:bCs w:val="false"/>
        </w:rPr>
      </w:pPr>
      <w:r>
        <w:rPr>
          <w:b w:val="false"/>
          <w:bCs w:val="false"/>
        </w:rPr>
      </w:r>
    </w:p>
    <w:p>
      <w:pPr>
        <w:pStyle w:val="Heading"/>
        <w:numPr>
          <w:ilvl w:val="1"/>
          <w:numId w:val="6"/>
        </w:numPr>
        <w:jc w:val="start"/>
        <w:rPr>
          <w:b w:val="false"/>
          <w:bCs w:val="false"/>
        </w:rPr>
      </w:pPr>
      <w:r>
        <w:rPr>
          <w:b w:val="false"/>
          <w:bCs w:val="false"/>
        </w:rPr>
        <w:t>The federally instructed</w:t>
      </w:r>
      <w:r>
        <w:rPr>
          <w:rStyle w:val="FootnoteCharacters"/>
          <w:rStyle w:val="FootnoteReference"/>
          <w:b/>
          <w:bCs/>
        </w:rPr>
        <w:footnoteReference w:id="3"/>
      </w:r>
      <w:r>
        <w:rPr>
          <w:b w:val="false"/>
          <w:bCs w:val="false"/>
        </w:rPr>
        <w:t xml:space="preserve"> move toward a national, seamless electricity transmission grid is inhibited by different rules from physically connected systems that block the flow of electrons to areas where they are most in demand.</w:t>
      </w:r>
    </w:p>
    <w:p>
      <w:pPr>
        <w:pStyle w:val="Heading"/>
        <w:jc w:val="start"/>
        <w:rPr>
          <w:b w:val="false"/>
          <w:bCs w:val="false"/>
        </w:rPr>
      </w:pPr>
      <w:r>
        <w:rPr>
          <w:b w:val="false"/>
          <w:bCs w:val="false"/>
        </w:rPr>
      </w:r>
    </w:p>
    <w:p>
      <w:pPr>
        <w:pStyle w:val="Heading"/>
        <w:ind w:start="720" w:end="0"/>
        <w:jc w:val="start"/>
        <w:rPr>
          <w:b w:val="false"/>
          <w:bCs w:val="false"/>
        </w:rPr>
      </w:pPr>
      <w:r>
        <w:rPr>
          <w:b w:val="false"/>
          <w:bCs w:val="false"/>
        </w:rPr>
      </w:r>
    </w:p>
    <w:p>
      <w:pPr>
        <w:pStyle w:val="Heading"/>
        <w:numPr>
          <w:ilvl w:val="1"/>
          <w:numId w:val="6"/>
        </w:numPr>
        <w:jc w:val="start"/>
        <w:rPr>
          <w:b w:val="false"/>
          <w:bCs w:val="false"/>
        </w:rPr>
      </w:pPr>
      <w:r>
        <w:rPr>
          <w:b w:val="false"/>
          <w:bCs w:val="false"/>
        </w:rPr>
        <w:t>This misalignment—called by some “electricity gerrymandering”—sends a false signal to the market that there is less supply.</w:t>
      </w:r>
    </w:p>
    <w:p>
      <w:pPr>
        <w:pStyle w:val="Heading"/>
        <w:jc w:val="start"/>
        <w:rPr>
          <w:b w:val="false"/>
          <w:bCs w:val="false"/>
        </w:rPr>
      </w:pPr>
      <w:r>
        <w:rPr>
          <w:b w:val="false"/>
          <w:bCs w:val="false"/>
        </w:rPr>
      </w:r>
    </w:p>
    <w:p>
      <w:pPr>
        <w:pStyle w:val="Heading"/>
        <w:ind w:start="720" w:end="0"/>
        <w:jc w:val="start"/>
        <w:rPr>
          <w:b w:val="false"/>
          <w:bCs w:val="false"/>
        </w:rPr>
      </w:pPr>
      <w:r>
        <w:rPr>
          <w:b w:val="false"/>
          <w:bCs w:val="false"/>
        </w:rPr>
      </w:r>
    </w:p>
    <w:p>
      <w:pPr>
        <w:pStyle w:val="Heading"/>
        <w:numPr>
          <w:ilvl w:val="1"/>
          <w:numId w:val="6"/>
        </w:numPr>
        <w:jc w:val="start"/>
        <w:rPr>
          <w:b w:val="false"/>
          <w:bCs w:val="false"/>
        </w:rPr>
      </w:pPr>
      <w:r>
        <w:rPr>
          <w:b w:val="false"/>
          <w:bCs w:val="false"/>
        </w:rPr>
        <w:t>A simple lack of coordination is responsible for some of the bottlenecked transmission.  Skewed profit incentives of utility owners is also part of the problem.</w:t>
      </w:r>
    </w:p>
    <w:p>
      <w:pPr>
        <w:pStyle w:val="Heading"/>
        <w:jc w:val="start"/>
        <w:rPr>
          <w:b w:val="false"/>
          <w:bCs w:val="false"/>
        </w:rPr>
      </w:pPr>
      <w:r>
        <w:rPr>
          <w:b w:val="false"/>
          <w:bCs w:val="false"/>
        </w:rPr>
      </w:r>
    </w:p>
    <w:p>
      <w:pPr>
        <w:pStyle w:val="Heading"/>
        <w:ind w:start="360" w:end="0"/>
        <w:jc w:val="start"/>
        <w:rPr>
          <w:b w:val="false"/>
          <w:bCs w:val="false"/>
        </w:rPr>
      </w:pPr>
      <w:r>
        <w:rPr>
          <w:b w:val="false"/>
          <w:bCs w:val="false"/>
        </w:rPr>
      </w:r>
    </w:p>
    <w:p>
      <w:pPr>
        <w:pStyle w:val="Heading"/>
        <w:numPr>
          <w:ilvl w:val="0"/>
          <w:numId w:val="4"/>
        </w:numPr>
        <w:jc w:val="start"/>
        <w:rPr>
          <w:b w:val="false"/>
          <w:bCs w:val="false"/>
        </w:rPr>
      </w:pPr>
      <w:r>
        <w:rPr>
          <w:b w:val="false"/>
          <w:bCs w:val="false"/>
        </w:rPr>
        <w:t>Compared to the power grid, the national natural gas grid has performed well under a variety of conditions in the last decade or more under federal “open-access” requirements.</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numPr>
          <w:ilvl w:val="0"/>
          <w:numId w:val="4"/>
        </w:numPr>
        <w:jc w:val="start"/>
        <w:rPr>
          <w:b w:val="false"/>
          <w:bCs w:val="false"/>
        </w:rPr>
      </w:pPr>
      <w:r>
        <w:rPr>
          <w:b w:val="false"/>
          <w:bCs w:val="false"/>
        </w:rPr>
        <w:t>I agree with FERC Chairman Pat Wood that,</w:t>
      </w:r>
    </w:p>
    <w:p>
      <w:pPr>
        <w:pStyle w:val="Heading"/>
        <w:jc w:val="start"/>
        <w:rPr>
          <w:b w:val="false"/>
          <w:bCs w:val="false"/>
        </w:rPr>
      </w:pPr>
      <w:r>
        <w:rPr>
          <w:b w:val="false"/>
          <w:bCs w:val="false"/>
        </w:rPr>
      </w:r>
    </w:p>
    <w:p>
      <w:pPr>
        <w:pStyle w:val="Heading"/>
        <w:ind w:start="720" w:end="0"/>
        <w:jc w:val="start"/>
        <w:rPr>
          <w:b w:val="false"/>
          <w:bCs w:val="false"/>
        </w:rPr>
      </w:pPr>
      <w:r>
        <w:rPr>
          <w:b w:val="false"/>
          <w:bCs w:val="false"/>
        </w:rPr>
        <w:t>“</w:t>
      </w:r>
      <w:r>
        <w:rPr>
          <w:b w:val="false"/>
          <w:bCs w:val="false"/>
        </w:rPr>
        <w:t xml:space="preserve">Unless every transmission owner participates in Regional Transmission Organizations (RTOs) of some sort, there will remain barriers to legality, cost, and time that will slow the entry of new generators and increase the wholesale and retail costs of electricity.” </w:t>
      </w:r>
    </w:p>
    <w:p>
      <w:pPr>
        <w:pStyle w:val="Heading"/>
        <w:ind w:start="360" w:end="0"/>
        <w:jc w:val="start"/>
        <w:rPr>
          <w:b w:val="false"/>
          <w:bCs w:val="false"/>
        </w:rPr>
      </w:pPr>
      <w:r>
        <w:rPr>
          <w:b w:val="false"/>
          <w:bCs w:val="false"/>
        </w:rPr>
      </w:r>
    </w:p>
    <w:p>
      <w:pPr>
        <w:pStyle w:val="Heading"/>
        <w:numPr>
          <w:ilvl w:val="0"/>
          <w:numId w:val="7"/>
        </w:numPr>
        <w:jc w:val="start"/>
        <w:rPr>
          <w:b w:val="false"/>
          <w:bCs w:val="false"/>
        </w:rPr>
      </w:pPr>
      <w:r>
        <w:rPr>
          <w:b w:val="false"/>
          <w:bCs w:val="false"/>
        </w:rPr>
        <w:t>RTOs should:</w:t>
      </w:r>
    </w:p>
    <w:p>
      <w:pPr>
        <w:pStyle w:val="Heading"/>
        <w:jc w:val="start"/>
        <w:rPr>
          <w:b w:val="false"/>
          <w:bCs w:val="false"/>
        </w:rPr>
      </w:pPr>
      <w:r>
        <w:rPr>
          <w:b w:val="false"/>
          <w:bCs w:val="false"/>
        </w:rPr>
      </w:r>
    </w:p>
    <w:p>
      <w:pPr>
        <w:pStyle w:val="Heading"/>
        <w:numPr>
          <w:ilvl w:val="1"/>
          <w:numId w:val="6"/>
        </w:numPr>
        <w:jc w:val="start"/>
        <w:rPr>
          <w:b w:val="false"/>
          <w:bCs w:val="false"/>
        </w:rPr>
      </w:pPr>
      <w:r>
        <w:rPr>
          <w:b w:val="false"/>
          <w:bCs w:val="false"/>
        </w:rPr>
        <w:t>Implement standard procedures to the extent necessary to create a seamless grid</w:t>
      </w:r>
    </w:p>
    <w:p>
      <w:pPr>
        <w:pStyle w:val="Heading"/>
        <w:jc w:val="start"/>
        <w:rPr>
          <w:b w:val="false"/>
          <w:bCs w:val="false"/>
        </w:rPr>
      </w:pPr>
      <w:r>
        <w:rPr>
          <w:b w:val="false"/>
          <w:bCs w:val="false"/>
        </w:rPr>
      </w:r>
    </w:p>
    <w:p>
      <w:pPr>
        <w:pStyle w:val="Heading"/>
        <w:numPr>
          <w:ilvl w:val="1"/>
          <w:numId w:val="6"/>
        </w:numPr>
        <w:jc w:val="start"/>
        <w:rPr>
          <w:b w:val="false"/>
          <w:bCs w:val="false"/>
        </w:rPr>
      </w:pPr>
      <w:r>
        <w:rPr>
          <w:b w:val="false"/>
          <w:bCs w:val="false"/>
        </w:rPr>
        <w:t>Be a system operator but not market-maker</w:t>
      </w:r>
    </w:p>
    <w:p>
      <w:pPr>
        <w:pStyle w:val="Heading"/>
        <w:jc w:val="start"/>
        <w:rPr>
          <w:b w:val="false"/>
          <w:bCs w:val="false"/>
        </w:rPr>
      </w:pPr>
      <w:r>
        <w:rPr>
          <w:b w:val="false"/>
          <w:bCs w:val="false"/>
        </w:rPr>
      </w:r>
    </w:p>
    <w:p>
      <w:pPr>
        <w:pStyle w:val="Heading"/>
        <w:numPr>
          <w:ilvl w:val="1"/>
          <w:numId w:val="6"/>
        </w:numPr>
        <w:jc w:val="start"/>
        <w:rPr>
          <w:b w:val="false"/>
          <w:bCs w:val="false"/>
        </w:rPr>
      </w:pPr>
      <w:r>
        <w:rPr>
          <w:b w:val="false"/>
          <w:bCs w:val="false"/>
        </w:rPr>
        <w:t>Encompass a wide-enough geographical region to achieve economies of scale</w:t>
      </w:r>
    </w:p>
    <w:p>
      <w:pPr>
        <w:pStyle w:val="Heading"/>
        <w:jc w:val="start"/>
        <w:rPr>
          <w:b w:val="false"/>
          <w:bCs w:val="false"/>
        </w:rPr>
      </w:pPr>
      <w:r>
        <w:rPr>
          <w:b w:val="false"/>
          <w:bCs w:val="false"/>
        </w:rPr>
      </w:r>
    </w:p>
    <w:p>
      <w:pPr>
        <w:pStyle w:val="Heading"/>
        <w:numPr>
          <w:ilvl w:val="1"/>
          <w:numId w:val="6"/>
        </w:numPr>
        <w:jc w:val="start"/>
        <w:rPr>
          <w:b w:val="false"/>
          <w:bCs w:val="false"/>
        </w:rPr>
      </w:pPr>
      <w:r>
        <w:rPr>
          <w:b w:val="false"/>
          <w:bCs w:val="false"/>
        </w:rPr>
        <w:t>Respect state jurisdiction over distribution/retail activities (wholesale transmission accounts for only about 7% of retail sales)</w:t>
      </w:r>
    </w:p>
    <w:p>
      <w:pPr>
        <w:pStyle w:val="Heading"/>
        <w:jc w:val="start"/>
        <w:rPr>
          <w:b w:val="false"/>
          <w:bCs w:val="false"/>
        </w:rPr>
      </w:pPr>
      <w:r>
        <w:rPr>
          <w:b w:val="false"/>
          <w:bCs w:val="false"/>
        </w:rPr>
      </w:r>
    </w:p>
    <w:p>
      <w:pPr>
        <w:pStyle w:val="Heading"/>
        <w:numPr>
          <w:ilvl w:val="1"/>
          <w:numId w:val="6"/>
        </w:numPr>
        <w:jc w:val="start"/>
        <w:rPr>
          <w:b w:val="false"/>
          <w:bCs w:val="false"/>
        </w:rPr>
      </w:pPr>
      <w:r>
        <w:rPr>
          <w:b w:val="false"/>
          <w:bCs w:val="false"/>
        </w:rPr>
        <w:t>Be governed by an independent board under FERC guidance (pursuant to the Commerce Clause).</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pPr>
      <w:r>
        <w:rPr/>
        <w:t>III. Increased Role of Natural Gas</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numPr>
          <w:ilvl w:val="0"/>
          <w:numId w:val="8"/>
        </w:numPr>
        <w:jc w:val="start"/>
        <w:rPr>
          <w:b w:val="false"/>
          <w:bCs w:val="false"/>
        </w:rPr>
      </w:pPr>
      <w:r>
        <w:rPr>
          <w:b w:val="false"/>
          <w:bCs w:val="false"/>
        </w:rPr>
        <w:t>For economic and environmental reasons, natural gas is poised to continue increasing its market share of the electricity and overall energy market.</w:t>
      </w:r>
    </w:p>
    <w:p>
      <w:pPr>
        <w:pStyle w:val="Heading"/>
        <w:jc w:val="start"/>
        <w:rPr>
          <w:b w:val="false"/>
          <w:bCs w:val="false"/>
        </w:rPr>
      </w:pPr>
      <w:r>
        <w:rPr>
          <w:b w:val="false"/>
          <w:bCs w:val="false"/>
        </w:rPr>
      </w:r>
    </w:p>
    <w:p>
      <w:pPr>
        <w:pStyle w:val="Heading"/>
        <w:ind w:start="1080" w:end="0"/>
        <w:jc w:val="start"/>
        <w:rPr>
          <w:b w:val="false"/>
          <w:bCs w:val="false"/>
        </w:rPr>
      </w:pPr>
      <w:r>
        <w:rPr>
          <w:b w:val="false"/>
          <w:bCs w:val="false"/>
        </w:rPr>
        <w:t>Versus a controlled coal plant, natural gas combined-cycle units produce:</w:t>
      </w:r>
    </w:p>
    <w:p>
      <w:pPr>
        <w:pStyle w:val="Heading"/>
        <w:ind w:start="1080" w:end="0"/>
        <w:jc w:val="start"/>
        <w:rPr>
          <w:b w:val="false"/>
          <w:bCs w:val="false"/>
        </w:rPr>
      </w:pPr>
      <w:r>
        <w:rPr>
          <w:b w:val="false"/>
          <w:bCs w:val="false"/>
        </w:rPr>
      </w:r>
    </w:p>
    <w:p>
      <w:pPr>
        <w:pStyle w:val="Heading"/>
        <w:numPr>
          <w:ilvl w:val="1"/>
          <w:numId w:val="6"/>
        </w:numPr>
        <w:jc w:val="start"/>
        <w:rPr>
          <w:b w:val="false"/>
          <w:bCs w:val="false"/>
        </w:rPr>
      </w:pPr>
      <w:r>
        <w:rPr>
          <w:b w:val="false"/>
          <w:bCs w:val="false"/>
        </w:rPr>
        <w:t>100% less SO2, ash, and sludge</w:t>
      </w:r>
    </w:p>
    <w:p>
      <w:pPr>
        <w:pStyle w:val="Heading"/>
        <w:numPr>
          <w:ilvl w:val="1"/>
          <w:numId w:val="6"/>
        </w:numPr>
        <w:jc w:val="start"/>
        <w:rPr>
          <w:b w:val="false"/>
          <w:bCs w:val="false"/>
        </w:rPr>
      </w:pPr>
      <w:r>
        <w:rPr>
          <w:b w:val="false"/>
          <w:bCs w:val="false"/>
        </w:rPr>
        <w:t xml:space="preserve">  </w:t>
      </w:r>
      <w:r>
        <w:rPr>
          <w:b w:val="false"/>
          <w:bCs w:val="false"/>
        </w:rPr>
        <w:t>99% less mercury (could be soon regulated)</w:t>
      </w:r>
    </w:p>
    <w:p>
      <w:pPr>
        <w:pStyle w:val="Heading"/>
        <w:numPr>
          <w:ilvl w:val="1"/>
          <w:numId w:val="6"/>
        </w:numPr>
        <w:jc w:val="start"/>
        <w:rPr>
          <w:b w:val="false"/>
          <w:bCs w:val="false"/>
        </w:rPr>
      </w:pPr>
      <w:r>
        <w:rPr>
          <w:b w:val="false"/>
          <w:bCs w:val="false"/>
        </w:rPr>
        <w:t xml:space="preserve">  </w:t>
      </w:r>
      <w:r>
        <w:rPr>
          <w:b w:val="false"/>
          <w:bCs w:val="false"/>
        </w:rPr>
        <w:t>95% less PM10</w:t>
      </w:r>
    </w:p>
    <w:p>
      <w:pPr>
        <w:pStyle w:val="Heading"/>
        <w:numPr>
          <w:ilvl w:val="1"/>
          <w:numId w:val="6"/>
        </w:numPr>
        <w:jc w:val="start"/>
        <w:rPr>
          <w:b w:val="false"/>
          <w:bCs w:val="false"/>
        </w:rPr>
      </w:pPr>
      <w:r>
        <w:rPr>
          <w:b w:val="false"/>
          <w:bCs w:val="false"/>
        </w:rPr>
        <w:t xml:space="preserve">  </w:t>
      </w:r>
      <w:r>
        <w:rPr>
          <w:b w:val="false"/>
          <w:bCs w:val="false"/>
        </w:rPr>
        <w:t>81% less NOx</w:t>
      </w:r>
    </w:p>
    <w:p>
      <w:pPr>
        <w:pStyle w:val="Heading"/>
        <w:numPr>
          <w:ilvl w:val="1"/>
          <w:numId w:val="6"/>
        </w:numPr>
        <w:jc w:val="start"/>
        <w:rPr>
          <w:b w:val="false"/>
          <w:bCs w:val="false"/>
        </w:rPr>
      </w:pPr>
      <w:r>
        <w:rPr>
          <w:b w:val="false"/>
          <w:bCs w:val="false"/>
        </w:rPr>
        <w:t xml:space="preserve">  </w:t>
      </w:r>
      <w:r>
        <w:rPr>
          <w:b w:val="false"/>
          <w:bCs w:val="false"/>
        </w:rPr>
        <w:t>58% less CO2</w:t>
      </w:r>
    </w:p>
    <w:p>
      <w:pPr>
        <w:pStyle w:val="Heading"/>
        <w:jc w:val="start"/>
        <w:rPr>
          <w:b w:val="false"/>
          <w:bCs w:val="false"/>
        </w:rPr>
      </w:pPr>
      <w:r>
        <w:rPr>
          <w:b w:val="false"/>
          <w:bCs w:val="false"/>
        </w:rPr>
      </w:r>
    </w:p>
    <w:p>
      <w:pPr>
        <w:pStyle w:val="Heading"/>
        <w:numPr>
          <w:ilvl w:val="0"/>
          <w:numId w:val="8"/>
        </w:numPr>
        <w:jc w:val="start"/>
        <w:rPr>
          <w:b w:val="false"/>
          <w:bCs w:val="false"/>
        </w:rPr>
      </w:pPr>
      <w:r>
        <w:rPr>
          <w:b w:val="false"/>
          <w:bCs w:val="false"/>
        </w:rPr>
        <w:t>The naysayers were out when spot prices reached nearly $10 per MMBtu late last year, but the steep backwardation curve then, has been justified by price movements since.</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numPr>
          <w:ilvl w:val="0"/>
          <w:numId w:val="8"/>
        </w:numPr>
        <w:jc w:val="start"/>
        <w:rPr>
          <w:b w:val="false"/>
          <w:bCs w:val="false"/>
        </w:rPr>
      </w:pPr>
      <w:r>
        <w:rPr>
          <w:b w:val="false"/>
          <w:bCs w:val="false"/>
        </w:rPr>
        <w:t>Today’s spot market price for natural gas of around $2.00 per MMBtu represents an 80% drop from the peak and reaffirms the economic advantage of new gas-fired generation plants (and the EIA prediction that gas will fuel over 90% of new capacity in the next two decades).</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numPr>
          <w:ilvl w:val="0"/>
          <w:numId w:val="8"/>
        </w:numPr>
        <w:jc w:val="start"/>
        <w:rPr>
          <w:b w:val="false"/>
          <w:bCs w:val="false"/>
        </w:rPr>
      </w:pPr>
      <w:r>
        <w:rPr>
          <w:b w:val="false"/>
          <w:bCs w:val="false"/>
        </w:rPr>
        <w:t>U.S. proved reserves total around 1,500 TCF, a 60-70 year supply at current consumption rates.  This base has grown over the years as estimates have increased faster than usage.  For example, U.S. proved reserves today are higher than in the 1940s despite interim consumption that has been 5-6 times the original reserve estimate.  Canadian reserves are higher today than in the 1960s despite consumption that is double the original estimate.</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numPr>
          <w:ilvl w:val="0"/>
          <w:numId w:val="8"/>
        </w:numPr>
        <w:jc w:val="start"/>
        <w:rPr>
          <w:b w:val="false"/>
          <w:bCs w:val="false"/>
        </w:rPr>
      </w:pPr>
      <w:r>
        <w:rPr>
          <w:b w:val="false"/>
          <w:bCs w:val="false"/>
        </w:rPr>
        <w:t>Reserve replacement in the U.S. last year was 126% of consumption (“Higher prices tend to lead to upward revisions in reserve estimates”—AGA).</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numPr>
          <w:ilvl w:val="0"/>
          <w:numId w:val="8"/>
        </w:numPr>
        <w:jc w:val="start"/>
        <w:rPr>
          <w:b w:val="false"/>
          <w:bCs w:val="false"/>
        </w:rPr>
      </w:pPr>
      <w:r>
        <w:rPr>
          <w:b w:val="false"/>
          <w:bCs w:val="false"/>
        </w:rPr>
        <w:t>New LNG projects are being announced to supplement imports from Canada.</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numPr>
          <w:ilvl w:val="0"/>
          <w:numId w:val="8"/>
        </w:numPr>
        <w:jc w:val="start"/>
        <w:rPr>
          <w:b w:val="false"/>
          <w:bCs w:val="false"/>
        </w:rPr>
      </w:pPr>
      <w:r>
        <w:rPr>
          <w:b w:val="false"/>
          <w:bCs w:val="false"/>
        </w:rPr>
        <w:t>Pipeline proposals to bring natural gas supplies for the Alaskan North Slope and Canada’s Yukon and Northwest Territories to the lower-48 are under consideration (INGAA Foundation study —1.4 Bcf/d in 2001-10 period economical at a $3-$4/MMBtu delivered price).</w:t>
      </w:r>
    </w:p>
    <w:p>
      <w:pPr>
        <w:pStyle w:val="Normal"/>
        <w:rPr>
          <w:b/>
          <w:bCs/>
        </w:rPr>
      </w:pPr>
      <w:r>
        <w:rPr>
          <w:b/>
          <w:bCs/>
        </w:rPr>
      </w:r>
    </w:p>
    <w:p>
      <w:pPr>
        <w:pStyle w:val="Normal"/>
        <w:rPr/>
      </w:pPr>
      <w:r>
        <w:rPr/>
      </w:r>
    </w:p>
    <w:p>
      <w:pPr>
        <w:pStyle w:val="Heading1"/>
        <w:ind w:hanging="0" w:start="0"/>
        <w:rPr/>
      </w:pPr>
      <w:r>
        <w:rPr/>
        <w:t>IV. Public Policy</w:t>
      </w:r>
    </w:p>
    <w:p>
      <w:pPr>
        <w:pStyle w:val="Normal"/>
        <w:rPr/>
      </w:pPr>
      <w:r>
        <w:rPr/>
      </w:r>
    </w:p>
    <w:p>
      <w:pPr>
        <w:pStyle w:val="Normal"/>
        <w:rPr/>
      </w:pPr>
      <w:r>
        <w:rPr/>
      </w:r>
    </w:p>
    <w:p>
      <w:pPr>
        <w:pStyle w:val="Normal"/>
        <w:numPr>
          <w:ilvl w:val="0"/>
          <w:numId w:val="3"/>
        </w:numPr>
        <w:rPr/>
      </w:pPr>
      <w:r>
        <w:rPr/>
        <w:t>Until the California experience, the trend in public policy was positive.</w:t>
      </w:r>
    </w:p>
    <w:p>
      <w:pPr>
        <w:pStyle w:val="Normal"/>
        <w:rPr/>
      </w:pPr>
      <w:r>
        <w:rPr/>
      </w:r>
    </w:p>
    <w:p>
      <w:pPr>
        <w:pStyle w:val="Normal"/>
        <w:rPr/>
      </w:pPr>
      <w:r>
        <w:rPr/>
      </w:r>
    </w:p>
    <w:p>
      <w:pPr>
        <w:pStyle w:val="Normal"/>
        <w:numPr>
          <w:ilvl w:val="0"/>
          <w:numId w:val="3"/>
        </w:numPr>
        <w:rPr/>
      </w:pPr>
      <w:r>
        <w:rPr/>
        <w:t>Sometimes it was 3 steps forward, 2 back, but the innovation and improvement was there, particularly in the natural gas and electricity markets</w:t>
      </w:r>
    </w:p>
    <w:p>
      <w:pPr>
        <w:pStyle w:val="Normal"/>
        <w:rPr/>
      </w:pPr>
      <w:r>
        <w:rPr/>
      </w:r>
    </w:p>
    <w:p>
      <w:pPr>
        <w:pStyle w:val="Normal"/>
        <w:rPr/>
      </w:pPr>
      <w:r>
        <w:rPr/>
      </w:r>
    </w:p>
    <w:p>
      <w:pPr>
        <w:pStyle w:val="Normal"/>
        <w:numPr>
          <w:ilvl w:val="0"/>
          <w:numId w:val="3"/>
        </w:numPr>
        <w:rPr/>
      </w:pPr>
      <w:r>
        <w:rPr/>
        <w:t xml:space="preserve">Books such as </w:t>
      </w:r>
      <w:r>
        <w:rPr>
          <w:i/>
          <w:iCs/>
        </w:rPr>
        <w:t>The Commanding Heights</w:t>
      </w:r>
      <w:r>
        <w:rPr/>
        <w:t xml:space="preserve"> by Dan Yergin and Joseph Stanislaw were written about the triumph of markets around the world.</w:t>
      </w:r>
    </w:p>
    <w:p>
      <w:pPr>
        <w:pStyle w:val="Normal"/>
        <w:rPr/>
      </w:pPr>
      <w:r>
        <w:rPr/>
      </w:r>
    </w:p>
    <w:p>
      <w:pPr>
        <w:pStyle w:val="Normal"/>
        <w:rPr/>
      </w:pPr>
      <w:r>
        <w:rPr/>
      </w:r>
    </w:p>
    <w:p>
      <w:pPr>
        <w:pStyle w:val="Normal"/>
        <w:numPr>
          <w:ilvl w:val="0"/>
          <w:numId w:val="3"/>
        </w:numPr>
        <w:rPr/>
      </w:pPr>
      <w:r>
        <w:rPr/>
        <w:t>The California experience has put markets back into doubt because politically designed quasi-markets don’t work well when stressed by changing supply/demand conditions.</w:t>
      </w:r>
    </w:p>
    <w:p>
      <w:pPr>
        <w:pStyle w:val="Normal"/>
        <w:rPr/>
      </w:pPr>
      <w:r>
        <w:rPr/>
      </w:r>
    </w:p>
    <w:p>
      <w:pPr>
        <w:pStyle w:val="Normal"/>
        <w:rPr/>
      </w:pPr>
      <w:r>
        <w:rPr/>
      </w:r>
    </w:p>
    <w:p>
      <w:pPr>
        <w:pStyle w:val="Normal"/>
        <w:numPr>
          <w:ilvl w:val="0"/>
          <w:numId w:val="3"/>
        </w:numPr>
        <w:rPr/>
      </w:pPr>
      <w:r>
        <w:rPr/>
        <w:t xml:space="preserve">California’s energy czar (S. David Freeman) stated: “Never again will we embrace the free market—it’s too expensive.  The marketplace is blind to the need for cleaner air, it is blind to the needs of consumers in a shortage, and it produces a shortage with its volatility.” </w:t>
      </w:r>
      <w:r>
        <w:rPr>
          <w:sz w:val="16"/>
        </w:rPr>
        <w:t>(AP Newswires, June 27, 2001)</w:t>
      </w:r>
    </w:p>
    <w:p>
      <w:pPr>
        <w:pStyle w:val="Normal"/>
        <w:rPr/>
      </w:pPr>
      <w:r>
        <w:rPr/>
      </w:r>
    </w:p>
    <w:p>
      <w:pPr>
        <w:pStyle w:val="Normal"/>
        <w:rPr/>
      </w:pPr>
      <w:r>
        <w:rPr/>
      </w:r>
    </w:p>
    <w:p>
      <w:pPr>
        <w:pStyle w:val="Normal"/>
        <w:numPr>
          <w:ilvl w:val="0"/>
          <w:numId w:val="3"/>
        </w:numPr>
        <w:rPr/>
      </w:pPr>
      <w:r>
        <w:rPr/>
        <w:t>This is a very dangerous mentality toward markets going forward.  The energy market will always be at risk if recycled, simplistic views from the 1970s lurk behind every potential crisis.</w:t>
      </w:r>
    </w:p>
    <w:p>
      <w:pPr>
        <w:pStyle w:val="Normal"/>
        <w:rPr/>
      </w:pPr>
      <w:r>
        <w:rPr/>
      </w:r>
    </w:p>
    <w:p>
      <w:pPr>
        <w:pStyle w:val="Normal"/>
        <w:rPr/>
      </w:pPr>
      <w:r>
        <w:rPr/>
      </w:r>
    </w:p>
    <w:p>
      <w:pPr>
        <w:pStyle w:val="Normal"/>
        <w:numPr>
          <w:ilvl w:val="0"/>
          <w:numId w:val="3"/>
        </w:numPr>
        <w:rPr/>
      </w:pPr>
      <w:r>
        <w:rPr/>
        <w:t>It can only chill investment markets if the energy sector is viewed asymmetrically by regulators: high prices, regulation; low prices, too bad.</w:t>
      </w:r>
    </w:p>
    <w:p>
      <w:pPr>
        <w:pStyle w:val="Normal"/>
        <w:rPr/>
      </w:pPr>
      <w:r>
        <w:rPr/>
      </w:r>
    </w:p>
    <w:p>
      <w:pPr>
        <w:pStyle w:val="Normal"/>
        <w:rPr/>
      </w:pPr>
      <w:r>
        <w:rPr/>
      </w:r>
    </w:p>
    <w:p>
      <w:pPr>
        <w:pStyle w:val="Normal"/>
        <w:numPr>
          <w:ilvl w:val="0"/>
          <w:numId w:val="3"/>
        </w:numPr>
        <w:rPr/>
      </w:pPr>
      <w:r>
        <w:rPr/>
        <w:t>Price volatility can be managed by a variety of risk instruments either on organized exchanges or through over-the-counter products offered by the Enrons, Dynegys, etc.</w:t>
      </w:r>
    </w:p>
    <w:p>
      <w:pPr>
        <w:pStyle w:val="Normal"/>
        <w:rPr/>
      </w:pPr>
      <w:r>
        <w:rPr/>
      </w:r>
    </w:p>
    <w:p>
      <w:pPr>
        <w:pStyle w:val="Normal"/>
        <w:rPr/>
      </w:pPr>
      <w:r>
        <w:rPr/>
      </w:r>
    </w:p>
    <w:p>
      <w:pPr>
        <w:pStyle w:val="Normal"/>
        <w:numPr>
          <w:ilvl w:val="0"/>
          <w:numId w:val="3"/>
        </w:numPr>
        <w:rPr/>
      </w:pPr>
      <w:r>
        <w:rPr/>
        <w:t>Market “self help” is a much better alternative and solution than government edicts responding to transient problems.</w:t>
      </w:r>
    </w:p>
    <w:p>
      <w:pPr>
        <w:pStyle w:val="Normal"/>
        <w:ind w:start="360" w:end="0"/>
        <w:rPr/>
      </w:pPr>
      <w:r>
        <w:rPr/>
      </w:r>
    </w:p>
    <w:p>
      <w:pPr>
        <w:pStyle w:val="Normal"/>
        <w:numPr>
          <w:ilvl w:val="0"/>
          <w:numId w:val="3"/>
        </w:numPr>
        <w:rPr/>
      </w:pPr>
      <w:r>
        <w:rPr/>
        <w:t xml:space="preserve">In an encouraging example of market self help, the Wednesday, September 26, 2001 edition of the </w:t>
      </w:r>
      <w:r>
        <w:rPr>
          <w:i/>
          <w:iCs/>
        </w:rPr>
        <w:t xml:space="preserve">Wall Street Journal </w:t>
      </w:r>
      <w:r>
        <w:rPr/>
        <w:t>contained an article titled “Utilities Cleared to Hedge Gas Prices.”  The article described how regulators in a number of states are allowing or encouraging natural-gas utilities to use financial hedging instruments to protect against price spikes.  Apparently, these regulators recognize the advantages of market-based solutions.</w:t>
      </w:r>
    </w:p>
    <w:p>
      <w:pPr>
        <w:pStyle w:val="Normal"/>
        <w:ind w:start="360" w:end="0"/>
        <w:rPr/>
      </w:pPr>
      <w:r>
        <w:rPr/>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U.S. energy intensity fell between 1970-86 by 2.3% annually.</w:t>
      </w:r>
    </w:p>
  </w:footnote>
  <w:footnote w:id="3">
    <w:p>
      <w:pPr>
        <w:pStyle w:val="FootnoteText"/>
        <w:rPr/>
      </w:pPr>
      <w:r>
        <w:rPr>
          <w:rStyle w:val="FootnoteCharacters"/>
        </w:rPr>
        <w:footnoteRef/>
      </w:r>
      <w:r>
        <w:rPr/>
        <w:t xml:space="preserve"> </w:t>
      </w:r>
      <w:r>
        <w:rPr/>
        <w:t>EPAct of 1992—FERC Order 888 series—FERC Order 2000 series—FERC July 2001 RTO negotiation instruction</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lvl w:ilvl="1">
      <w:start w:val="0"/>
      <w:numFmt w:val="bullet"/>
      <w:lvlText w:val="-"/>
      <w:lvlJc w:val="start"/>
      <w:pPr>
        <w:tabs>
          <w:tab w:val="num" w:pos="1440"/>
        </w:tabs>
        <w:ind w:start="1440" w:hanging="360"/>
      </w:pPr>
      <w:rPr>
        <w:rFonts w:ascii="Times New Roman" w:hAnsi="Times New Roman" w:cs="Times New Roman"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Times New Roman" w:hAnsi="Times New Roman" w:eastAsia="Times New Roman" w:cs="Times New Roman"/>
    </w:rPr>
  </w:style>
  <w:style w:type="character" w:styleId="WW8Num7z2">
    <w:name w:val="WW8Num7z2"/>
    <w:qFormat/>
    <w:rPr>
      <w:rFonts w:ascii="Wingdings" w:hAnsi="Wingdings" w:cs="Wingdings"/>
    </w:rPr>
  </w:style>
  <w:style w:type="character" w:styleId="WW8Num7z4">
    <w:name w:val="WW8Num7z4"/>
    <w:qFormat/>
    <w:rPr>
      <w:rFonts w:ascii="Courier New" w:hAnsi="Courier New" w:cs="Courier New"/>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2001-09-27T11:53:00Z</dcterms:created>
  <dc:creator>R Bradley</dc:creator>
  <dc:description/>
  <dc:language>en-CA</dc:language>
  <cp:lastModifiedBy>Jeff Gray</cp:lastModifiedBy>
  <cp:lastPrinted>2001-09-27T10:05:00Z</cp:lastPrinted>
  <dcterms:modified xsi:type="dcterms:W3CDTF">2001-09-27T12:50:00Z</dcterms:modified>
  <cp:revision>5</cp:revision>
  <dc:subject/>
  <dc:title>Comments of Ken Lay on General Energy Issues</dc:title>
</cp:coreProperties>
</file>