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w:rPr>
          <w:b/>
          <w:bCs/>
          <w:sz w:val="32"/>
        </w:rPr>
        <w:t>Introduction</w:t>
      </w:r>
    </w:p>
    <w:p>
      <w:pPr>
        <w:pStyle w:val="Normal"/>
        <w:jc w:val="center"/>
        <w:rPr>
          <w:b/>
          <w:bCs/>
          <w:sz w:val="32"/>
        </w:rPr>
      </w:pPr>
      <w:r>
        <w:rPr>
          <w:b/>
          <w:bCs/>
          <w:sz w:val="32"/>
        </w:rPr>
      </w:r>
    </w:p>
    <w:p>
      <w:pPr>
        <w:pStyle w:val="Normal"/>
        <w:jc w:val="center"/>
        <w:rPr/>
      </w:pPr>
      <w:r>
        <w:rPr/>
      </w:r>
    </w:p>
    <w:p>
      <w:pPr>
        <w:pStyle w:val="Normal"/>
        <w:jc w:val="center"/>
        <w:rPr/>
      </w:pPr>
      <w:r>
        <w:rPr/>
      </w:r>
    </w:p>
    <w:p>
      <w:pPr>
        <w:pStyle w:val="Normal"/>
        <w:rPr>
          <w:sz w:val="32"/>
        </w:rPr>
      </w:pPr>
      <w:r>
        <w:rPr>
          <w:sz w:val="32"/>
        </w:rPr>
      </w:r>
    </w:p>
    <w:p>
      <w:pPr>
        <w:pStyle w:val="Normal"/>
        <w:numPr>
          <w:ilvl w:val="0"/>
          <w:numId w:val="8"/>
        </w:numPr>
        <w:rPr>
          <w:sz w:val="28"/>
        </w:rPr>
      </w:pPr>
      <w:r>
        <w:rPr>
          <w:b/>
          <w:bCs/>
          <w:sz w:val="28"/>
        </w:rPr>
        <w:t>Energy sustainability -- economics joins environmentalism at the forefront</w:t>
      </w:r>
    </w:p>
    <w:p>
      <w:pPr>
        <w:pStyle w:val="Normal"/>
        <w:ind w:start="432" w:end="0"/>
        <w:rPr>
          <w:b/>
          <w:bCs/>
          <w:sz w:val="28"/>
        </w:rPr>
      </w:pPr>
      <w:r>
        <w:rPr>
          <w:b/>
          <w:bCs/>
          <w:sz w:val="28"/>
        </w:rPr>
      </w:r>
    </w:p>
    <w:p>
      <w:pPr>
        <w:pStyle w:val="Normal"/>
        <w:tabs>
          <w:tab w:val="clear" w:pos="720"/>
          <w:tab w:val="left" w:pos="840" w:leader="none"/>
          <w:tab w:val="left" w:pos="1440" w:leader="none"/>
        </w:tabs>
        <w:ind w:hanging="720" w:start="1440" w:end="0"/>
        <w:rPr>
          <w:sz w:val="28"/>
        </w:rPr>
      </w:pPr>
      <w:r>
        <w:rPr>
          <w:sz w:val="28"/>
        </w:rPr>
        <w:tab/>
        <w:t>-</w:t>
        <w:tab/>
        <w:t>Higher energy prices cost consumers $160 billion last year compared to the year before (a 30% jump), and this year could see another $100 billion increase or more (15% or more)</w:t>
      </w:r>
    </w:p>
    <w:p>
      <w:pPr>
        <w:pStyle w:val="Normal"/>
        <w:tabs>
          <w:tab w:val="clear" w:pos="720"/>
          <w:tab w:val="left" w:pos="840" w:leader="none"/>
          <w:tab w:val="left" w:pos="1440" w:leader="none"/>
        </w:tabs>
        <w:ind w:hanging="720" w:start="1440" w:end="0"/>
        <w:rPr>
          <w:sz w:val="28"/>
        </w:rPr>
      </w:pPr>
      <w:r>
        <w:rPr>
          <w:sz w:val="28"/>
        </w:rPr>
      </w:r>
    </w:p>
    <w:p>
      <w:pPr>
        <w:pStyle w:val="Normal"/>
        <w:tabs>
          <w:tab w:val="clear" w:pos="720"/>
          <w:tab w:val="left" w:pos="840" w:leader="none"/>
          <w:tab w:val="left" w:pos="1440" w:leader="none"/>
        </w:tabs>
        <w:ind w:hanging="720" w:start="1440" w:end="0"/>
        <w:rPr>
          <w:sz w:val="28"/>
        </w:rPr>
      </w:pPr>
      <w:r>
        <w:rPr>
          <w:sz w:val="28"/>
        </w:rPr>
        <w:t>-</w:t>
        <w:tab/>
        <w:tab/>
        <w:t>Mid-1999 crude price reversal and then "boutique fuel problem" in recent summers</w:t>
      </w:r>
    </w:p>
    <w:p>
      <w:pPr>
        <w:pStyle w:val="Normal"/>
        <w:tabs>
          <w:tab w:val="clear" w:pos="720"/>
          <w:tab w:val="left" w:pos="840" w:leader="none"/>
          <w:tab w:val="left" w:pos="1440" w:leader="none"/>
        </w:tabs>
        <w:ind w:hanging="720" w:start="1440" w:end="0"/>
        <w:rPr>
          <w:sz w:val="28"/>
        </w:rPr>
      </w:pPr>
      <w:r>
        <w:rPr>
          <w:sz w:val="28"/>
        </w:rPr>
      </w:r>
    </w:p>
    <w:p>
      <w:pPr>
        <w:pStyle w:val="Normal"/>
        <w:tabs>
          <w:tab w:val="clear" w:pos="720"/>
          <w:tab w:val="left" w:pos="840" w:leader="none"/>
          <w:tab w:val="left" w:pos="1440" w:leader="none"/>
        </w:tabs>
        <w:ind w:hanging="720" w:start="1440" w:end="0"/>
        <w:rPr>
          <w:sz w:val="28"/>
        </w:rPr>
      </w:pPr>
      <w:r>
        <w:rPr>
          <w:sz w:val="28"/>
        </w:rPr>
        <w:t>-</w:t>
        <w:tab/>
        <w:tab/>
        <w:t>Natural gas price increases since spring of 2000</w:t>
      </w:r>
    </w:p>
    <w:p>
      <w:pPr>
        <w:pStyle w:val="Normal"/>
        <w:tabs>
          <w:tab w:val="clear" w:pos="720"/>
          <w:tab w:val="left" w:pos="840" w:leader="none"/>
          <w:tab w:val="left" w:pos="1440" w:leader="none"/>
        </w:tabs>
        <w:ind w:hanging="720" w:start="1440" w:end="0"/>
        <w:rPr>
          <w:sz w:val="28"/>
        </w:rPr>
      </w:pPr>
      <w:r>
        <w:rPr>
          <w:sz w:val="28"/>
        </w:rPr>
      </w:r>
    </w:p>
    <w:p>
      <w:pPr>
        <w:pStyle w:val="Normal"/>
        <w:tabs>
          <w:tab w:val="clear" w:pos="720"/>
          <w:tab w:val="left" w:pos="840" w:leader="none"/>
          <w:tab w:val="left" w:pos="1440" w:leader="none"/>
        </w:tabs>
        <w:ind w:hanging="720" w:start="1440" w:end="0"/>
        <w:rPr>
          <w:sz w:val="28"/>
        </w:rPr>
      </w:pPr>
      <w:r>
        <w:rPr>
          <w:sz w:val="28"/>
        </w:rPr>
        <w:tab/>
        <w:tab/>
        <w:t>Regional power price increases that first occurred in the summer of 1998 in the Midwest</w:t>
      </w:r>
    </w:p>
    <w:p>
      <w:pPr>
        <w:pStyle w:val="Normal"/>
        <w:tabs>
          <w:tab w:val="clear" w:pos="720"/>
          <w:tab w:val="left" w:pos="840" w:leader="none"/>
          <w:tab w:val="left" w:pos="1440" w:leader="none"/>
        </w:tabs>
        <w:ind w:hanging="720" w:start="1440" w:end="0"/>
        <w:rPr>
          <w:sz w:val="28"/>
        </w:rPr>
      </w:pPr>
      <w:r>
        <w:rPr>
          <w:sz w:val="28"/>
        </w:rPr>
      </w:r>
    </w:p>
    <w:p>
      <w:pPr>
        <w:pStyle w:val="Normal"/>
        <w:tabs>
          <w:tab w:val="clear" w:pos="720"/>
          <w:tab w:val="left" w:pos="840" w:leader="none"/>
          <w:tab w:val="left" w:pos="1440" w:leader="none"/>
        </w:tabs>
        <w:ind w:hanging="720" w:start="1440" w:end="0"/>
        <w:rPr>
          <w:sz w:val="28"/>
        </w:rPr>
      </w:pPr>
      <w:r>
        <w:rPr>
          <w:sz w:val="28"/>
        </w:rPr>
      </w:r>
    </w:p>
    <w:p>
      <w:pPr>
        <w:pStyle w:val="Normal"/>
        <w:numPr>
          <w:ilvl w:val="0"/>
          <w:numId w:val="8"/>
        </w:numPr>
        <w:rPr>
          <w:sz w:val="28"/>
        </w:rPr>
      </w:pPr>
      <w:r>
        <w:rPr>
          <w:b/>
          <w:bCs/>
          <w:sz w:val="28"/>
        </w:rPr>
        <w:t>Natural gas -- still good news for new capacity additions</w:t>
      </w:r>
    </w:p>
    <w:p>
      <w:pPr>
        <w:pStyle w:val="Normal"/>
        <w:tabs>
          <w:tab w:val="clear" w:pos="720"/>
          <w:tab w:val="left" w:pos="840" w:leader="none"/>
          <w:tab w:val="left" w:pos="1440" w:leader="none"/>
        </w:tabs>
        <w:rPr>
          <w:sz w:val="28"/>
        </w:rPr>
      </w:pPr>
      <w:r>
        <w:rPr>
          <w:sz w:val="28"/>
        </w:rPr>
      </w:r>
    </w:p>
    <w:p>
      <w:pPr>
        <w:pStyle w:val="Normal"/>
        <w:tabs>
          <w:tab w:val="clear" w:pos="720"/>
          <w:tab w:val="left" w:pos="840" w:leader="none"/>
          <w:tab w:val="left" w:pos="1440" w:leader="none"/>
        </w:tabs>
        <w:rPr>
          <w:sz w:val="28"/>
        </w:rPr>
      </w:pPr>
      <w:r>
        <w:rPr>
          <w:sz w:val="28"/>
        </w:rPr>
        <w:tab/>
        <w:t>-</w:t>
        <w:tab/>
        <w:t xml:space="preserve">We have heard a lot of talk about coal and nuclear in recent months, but the fundamental advantages </w:t>
      </w:r>
    </w:p>
    <w:p>
      <w:pPr>
        <w:pStyle w:val="Normal"/>
        <w:tabs>
          <w:tab w:val="clear" w:pos="720"/>
          <w:tab w:val="left" w:pos="840" w:leader="none"/>
          <w:tab w:val="left" w:pos="1440" w:leader="none"/>
        </w:tabs>
        <w:rPr>
          <w:sz w:val="28"/>
        </w:rPr>
      </w:pPr>
      <w:r>
        <w:rPr>
          <w:sz w:val="28"/>
        </w:rPr>
        <w:tab/>
        <w:tab/>
        <w:t>remain for natural gas as the "fuel of choice" for new capacity</w:t>
      </w:r>
    </w:p>
    <w:p>
      <w:pPr>
        <w:pStyle w:val="Normal"/>
        <w:tabs>
          <w:tab w:val="clear" w:pos="720"/>
          <w:tab w:val="left" w:pos="840" w:leader="none"/>
          <w:tab w:val="left" w:pos="1440" w:leader="none"/>
        </w:tabs>
        <w:rPr>
          <w:sz w:val="28"/>
        </w:rPr>
      </w:pPr>
      <w:r>
        <w:rPr>
          <w:sz w:val="28"/>
        </w:rPr>
      </w:r>
    </w:p>
    <w:p>
      <w:pPr>
        <w:pStyle w:val="Normal"/>
        <w:tabs>
          <w:tab w:val="clear" w:pos="720"/>
          <w:tab w:val="left" w:pos="840" w:leader="none"/>
          <w:tab w:val="left" w:pos="1440" w:leader="none"/>
        </w:tabs>
        <w:rPr>
          <w:sz w:val="28"/>
        </w:rPr>
      </w:pPr>
      <w:r>
        <w:rPr>
          <w:sz w:val="28"/>
        </w:rPr>
      </w:r>
    </w:p>
    <w:p>
      <w:pPr>
        <w:pStyle w:val="Normal"/>
        <w:numPr>
          <w:ilvl w:val="0"/>
          <w:numId w:val="8"/>
        </w:numPr>
        <w:tabs>
          <w:tab w:val="clear" w:pos="720"/>
          <w:tab w:val="left" w:pos="840" w:leader="none"/>
          <w:tab w:val="left" w:pos="1440" w:leader="none"/>
        </w:tabs>
        <w:rPr>
          <w:b/>
          <w:bCs/>
          <w:sz w:val="28"/>
        </w:rPr>
      </w:pPr>
      <w:r>
        <w:rPr>
          <w:b/>
          <w:bCs/>
          <w:sz w:val="28"/>
        </w:rPr>
        <w:t xml:space="preserve">Climate change -- a </w:t>
      </w:r>
      <w:r>
        <w:rPr>
          <w:b/>
          <w:bCs/>
          <w:sz w:val="28"/>
          <w:u w:val="single"/>
        </w:rPr>
        <w:t>huge</w:t>
      </w:r>
      <w:r>
        <w:rPr>
          <w:b/>
          <w:bCs/>
          <w:sz w:val="28"/>
        </w:rPr>
        <w:t xml:space="preserve"> challenge for energy policy</w:t>
      </w:r>
    </w:p>
    <w:p>
      <w:pPr>
        <w:pStyle w:val="Normal"/>
        <w:tabs>
          <w:tab w:val="clear" w:pos="720"/>
          <w:tab w:val="left" w:pos="840" w:leader="none"/>
          <w:tab w:val="left" w:pos="1440" w:leader="none"/>
        </w:tabs>
        <w:rPr>
          <w:b/>
          <w:bCs/>
          <w:sz w:val="28"/>
        </w:rPr>
      </w:pPr>
      <w:r>
        <w:rPr>
          <w:b/>
          <w:bCs/>
          <w:sz w:val="28"/>
        </w:rPr>
      </w:r>
    </w:p>
    <w:p>
      <w:pPr>
        <w:pStyle w:val="Normal"/>
        <w:tabs>
          <w:tab w:val="clear" w:pos="720"/>
          <w:tab w:val="left" w:pos="840" w:leader="none"/>
          <w:tab w:val="left" w:pos="1440" w:leader="none"/>
        </w:tabs>
        <w:rPr/>
      </w:pPr>
      <w:r>
        <w:rPr/>
        <w:tab/>
        <w:t>-</w:t>
        <w:tab/>
      </w:r>
      <w:r>
        <w:rPr>
          <w:sz w:val="28"/>
        </w:rPr>
        <w:t xml:space="preserve">Getting started on serious greenhouse gas abatement is proving difficult, but significant "no regrets" </w:t>
      </w:r>
    </w:p>
    <w:p>
      <w:pPr>
        <w:pStyle w:val="Normal"/>
        <w:tabs>
          <w:tab w:val="clear" w:pos="720"/>
          <w:tab w:val="left" w:pos="840" w:leader="none"/>
          <w:tab w:val="left" w:pos="1440" w:leader="none"/>
        </w:tabs>
        <w:rPr>
          <w:sz w:val="28"/>
        </w:rPr>
      </w:pPr>
      <w:r>
        <w:rPr>
          <w:sz w:val="28"/>
        </w:rPr>
        <w:tab/>
        <w:tab/>
        <w:t xml:space="preserve">opportunities remain to be exploited </w:t>
      </w:r>
      <w:r>
        <w:br w:type="page"/>
      </w:r>
    </w:p>
    <w:p>
      <w:pPr>
        <w:pStyle w:val="Normal"/>
        <w:tabs>
          <w:tab w:val="clear" w:pos="720"/>
          <w:tab w:val="left" w:pos="840" w:leader="none"/>
          <w:tab w:val="left" w:pos="1440" w:leader="none"/>
        </w:tabs>
        <w:jc w:val="center"/>
        <w:rPr>
          <w:b/>
          <w:bCs/>
          <w:sz w:val="32"/>
        </w:rPr>
      </w:pPr>
      <w:r>
        <w:rPr>
          <w:b/>
          <w:bCs/>
          <w:sz w:val="32"/>
        </w:rPr>
        <w:t>Energy Sustainability Includes Affordability and Reliability</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numPr>
          <w:ilvl w:val="0"/>
          <w:numId w:val="10"/>
        </w:numPr>
        <w:rPr>
          <w:sz w:val="28"/>
        </w:rPr>
      </w:pPr>
      <w:r>
        <w:rPr>
          <w:sz w:val="28"/>
        </w:rPr>
        <w:t xml:space="preserve">Enron several years ago was part of the </w:t>
      </w:r>
      <w:r>
        <w:rPr>
          <w:sz w:val="28"/>
          <w:u w:val="single"/>
        </w:rPr>
        <w:t>President's Council on Sustainable Development</w:t>
      </w:r>
      <w:r>
        <w:rPr>
          <w:sz w:val="28"/>
        </w:rPr>
        <w:t xml:space="preserve"> (1993-98), a collaborative effort among government, NGOs, and businesses that worked to define sustainability and consider courses of action to achieve "sustainability"</w:t>
      </w:r>
    </w:p>
    <w:p>
      <w:pPr>
        <w:pStyle w:val="Normal"/>
        <w:rPr>
          <w:sz w:val="28"/>
        </w:rPr>
      </w:pPr>
      <w:r>
        <w:rPr>
          <w:sz w:val="28"/>
        </w:rPr>
      </w:r>
    </w:p>
    <w:p>
      <w:pPr>
        <w:pStyle w:val="Normal"/>
        <w:ind w:start="432" w:end="0"/>
        <w:rPr>
          <w:sz w:val="28"/>
        </w:rPr>
      </w:pPr>
      <w:r>
        <w:rPr>
          <w:sz w:val="28"/>
        </w:rPr>
        <w:t>The PCSD came up with a three-pronged definition:</w:t>
      </w:r>
    </w:p>
    <w:p>
      <w:pPr>
        <w:pStyle w:val="Normal"/>
        <w:ind w:start="432" w:end="0"/>
        <w:rPr>
          <w:sz w:val="28"/>
        </w:rPr>
      </w:pPr>
      <w:r>
        <w:rPr>
          <w:sz w:val="28"/>
        </w:rPr>
      </w:r>
    </w:p>
    <w:p>
      <w:pPr>
        <w:pStyle w:val="Normal"/>
        <w:tabs>
          <w:tab w:val="clear" w:pos="720"/>
          <w:tab w:val="left" w:pos="1080" w:leader="none"/>
          <w:tab w:val="left" w:pos="1680" w:leader="none"/>
        </w:tabs>
        <w:ind w:start="432" w:end="0"/>
        <w:rPr>
          <w:sz w:val="28"/>
        </w:rPr>
      </w:pPr>
      <w:r>
        <w:rPr>
          <w:sz w:val="28"/>
        </w:rPr>
        <w:tab/>
        <w:t>-</w:t>
        <w:tab/>
        <w:t>environmental improvement,</w:t>
      </w:r>
    </w:p>
    <w:p>
      <w:pPr>
        <w:pStyle w:val="Normal"/>
        <w:tabs>
          <w:tab w:val="clear" w:pos="720"/>
          <w:tab w:val="left" w:pos="1080" w:leader="none"/>
          <w:tab w:val="left" w:pos="1680" w:leader="none"/>
        </w:tabs>
        <w:ind w:start="432" w:end="0"/>
        <w:rPr>
          <w:sz w:val="28"/>
        </w:rPr>
      </w:pPr>
      <w:r>
        <w:rPr>
          <w:sz w:val="28"/>
        </w:rPr>
        <w:tab/>
        <w:t>-</w:t>
        <w:tab/>
        <w:t>social justice, and</w:t>
      </w:r>
    </w:p>
    <w:p>
      <w:pPr>
        <w:pStyle w:val="Normal"/>
        <w:tabs>
          <w:tab w:val="clear" w:pos="720"/>
          <w:tab w:val="left" w:pos="1080" w:leader="none"/>
          <w:tab w:val="left" w:pos="1680" w:leader="none"/>
        </w:tabs>
        <w:ind w:start="432" w:end="0"/>
        <w:rPr>
          <w:sz w:val="28"/>
        </w:rPr>
      </w:pPr>
      <w:r>
        <w:rPr>
          <w:sz w:val="28"/>
        </w:rPr>
        <w:tab/>
        <w:t>-</w:t>
        <w:tab/>
        <w:t xml:space="preserve">economic growth </w:t>
      </w:r>
    </w:p>
    <w:p>
      <w:pPr>
        <w:pStyle w:val="Normal"/>
        <w:rPr>
          <w:sz w:val="28"/>
        </w:rPr>
      </w:pPr>
      <w:r>
        <w:rPr>
          <w:sz w:val="28"/>
        </w:rPr>
      </w:r>
    </w:p>
    <w:p>
      <w:pPr>
        <w:pStyle w:val="Normal"/>
        <w:numPr>
          <w:ilvl w:val="0"/>
          <w:numId w:val="10"/>
        </w:numPr>
        <w:tabs>
          <w:tab w:val="clear" w:pos="720"/>
          <w:tab w:val="left" w:pos="360" w:leader="none"/>
        </w:tabs>
        <w:rPr>
          <w:sz w:val="28"/>
        </w:rPr>
      </w:pPr>
      <w:r>
        <w:rPr>
          <w:sz w:val="28"/>
        </w:rPr>
        <w:t>At the time, economic growth as a third leg on the sustainability stool was controversial</w:t>
      </w:r>
    </w:p>
    <w:p>
      <w:pPr>
        <w:pStyle w:val="Normal"/>
        <w:tabs>
          <w:tab w:val="clear" w:pos="720"/>
          <w:tab w:val="left" w:pos="360" w:leader="none"/>
        </w:tabs>
        <w:rPr>
          <w:sz w:val="28"/>
        </w:rPr>
      </w:pPr>
      <w:r>
        <w:rPr>
          <w:sz w:val="28"/>
        </w:rPr>
      </w:r>
    </w:p>
    <w:p>
      <w:pPr>
        <w:pStyle w:val="Normal"/>
        <w:tabs>
          <w:tab w:val="clear" w:pos="720"/>
          <w:tab w:val="left" w:pos="360" w:leader="none"/>
        </w:tabs>
        <w:rPr>
          <w:sz w:val="28"/>
        </w:rPr>
      </w:pPr>
      <w:r>
        <w:rPr>
          <w:sz w:val="28"/>
        </w:rPr>
      </w:r>
    </w:p>
    <w:p>
      <w:pPr>
        <w:pStyle w:val="Normal"/>
        <w:numPr>
          <w:ilvl w:val="0"/>
          <w:numId w:val="10"/>
        </w:numPr>
        <w:rPr>
          <w:sz w:val="28"/>
        </w:rPr>
      </w:pPr>
      <w:r>
        <w:rPr>
          <w:sz w:val="28"/>
        </w:rPr>
        <w:t>Yet, energy policy experts from across the political spectrum recognize the primary role of affordable, reliable energy for economic growth in both the developed and developing world</w:t>
        <w:br/>
      </w:r>
    </w:p>
    <w:p>
      <w:pPr>
        <w:pStyle w:val="Normal"/>
        <w:rPr>
          <w:sz w:val="28"/>
        </w:rPr>
      </w:pPr>
      <w:r>
        <w:rPr>
          <w:sz w:val="28"/>
        </w:rPr>
      </w:r>
    </w:p>
    <w:p>
      <w:pPr>
        <w:pStyle w:val="Normal"/>
        <w:numPr>
          <w:ilvl w:val="0"/>
          <w:numId w:val="10"/>
        </w:numPr>
        <w:rPr>
          <w:sz w:val="28"/>
        </w:rPr>
      </w:pPr>
      <w:r>
        <w:rPr>
          <w:sz w:val="28"/>
        </w:rPr>
        <w:t xml:space="preserve">John Holdren of Harvard recently wrote in </w:t>
      </w:r>
      <w:r>
        <w:rPr>
          <w:sz w:val="28"/>
          <w:u w:val="single"/>
        </w:rPr>
        <w:t>Science</w:t>
      </w:r>
      <w:r>
        <w:rPr>
          <w:sz w:val="28"/>
        </w:rPr>
        <w:t xml:space="preserve"> magazine that </w:t>
      </w:r>
      <w:r>
        <w:rPr>
          <w:b/>
          <w:bCs/>
          <w:sz w:val="28"/>
        </w:rPr>
        <w:t>[quotation]</w:t>
      </w:r>
    </w:p>
    <w:p>
      <w:pPr>
        <w:pStyle w:val="Normal"/>
        <w:rPr>
          <w:sz w:val="28"/>
        </w:rPr>
      </w:pPr>
      <w:r>
        <w:rPr>
          <w:sz w:val="28"/>
        </w:rPr>
      </w:r>
    </w:p>
    <w:p>
      <w:pPr>
        <w:pStyle w:val="Normal"/>
        <w:rPr>
          <w:sz w:val="28"/>
        </w:rPr>
      </w:pPr>
      <w:r>
        <w:rPr>
          <w:sz w:val="28"/>
        </w:rPr>
      </w:r>
    </w:p>
    <w:p>
      <w:pPr>
        <w:pStyle w:val="Normal"/>
        <w:numPr>
          <w:ilvl w:val="0"/>
          <w:numId w:val="10"/>
        </w:numPr>
        <w:rPr>
          <w:sz w:val="28"/>
        </w:rPr>
      </w:pPr>
      <w:r>
        <w:rPr>
          <w:sz w:val="28"/>
        </w:rPr>
        <w:t xml:space="preserve">Paul and Anne Ehrlich, long-time critics of the hydrocarbon-based energy economy, have warned </w:t>
      </w:r>
      <w:r>
        <w:rPr>
          <w:b/>
          <w:bCs/>
          <w:sz w:val="28"/>
        </w:rPr>
        <w:t>[quotation]</w:t>
      </w:r>
      <w:r>
        <w:br w:type="page"/>
      </w:r>
    </w:p>
    <w:p>
      <w:pPr>
        <w:pStyle w:val="Normal"/>
        <w:jc w:val="center"/>
        <w:rPr/>
      </w:pPr>
      <w:r>
        <w:rPr>
          <w:b/>
          <w:bCs/>
          <w:sz w:val="32"/>
        </w:rPr>
        <w:t>No Regrets-Price Neutral CO</w:t>
      </w:r>
      <w:r>
        <w:rPr>
          <w:b/>
          <w:bCs/>
          <w:sz w:val="32"/>
          <w:vertAlign w:val="subscript"/>
        </w:rPr>
        <w:t>2</w:t>
      </w:r>
      <w:r>
        <w:rPr>
          <w:b/>
          <w:bCs/>
          <w:sz w:val="32"/>
        </w:rPr>
        <w:t xml:space="preserve"> Policy</w:t>
      </w:r>
    </w:p>
    <w:p>
      <w:pPr>
        <w:pStyle w:val="Normal"/>
        <w:jc w:val="center"/>
        <w:rPr>
          <w:b/>
          <w:bCs/>
          <w:sz w:val="32"/>
        </w:rPr>
      </w:pPr>
      <w:r>
        <w:rPr>
          <w:b/>
          <w:bCs/>
          <w:sz w:val="32"/>
        </w:rPr>
      </w:r>
    </w:p>
    <w:p>
      <w:pPr>
        <w:pStyle w:val="Normal"/>
        <w:rPr>
          <w:b/>
          <w:bCs/>
          <w:sz w:val="28"/>
        </w:rPr>
      </w:pPr>
      <w:r>
        <w:rPr>
          <w:b/>
          <w:bCs/>
          <w:sz w:val="28"/>
        </w:rPr>
      </w:r>
    </w:p>
    <w:p>
      <w:pPr>
        <w:pStyle w:val="Normal"/>
        <w:numPr>
          <w:ilvl w:val="0"/>
          <w:numId w:val="31"/>
        </w:numPr>
        <w:spacing w:lineRule="auto" w:line="360"/>
        <w:rPr>
          <w:b/>
          <w:bCs/>
          <w:sz w:val="26"/>
        </w:rPr>
      </w:pPr>
      <w:r>
        <w:rPr>
          <w:b/>
          <w:bCs/>
          <w:sz w:val="26"/>
        </w:rPr>
        <w:t>End government pricing of energy below cost</w:t>
      </w:r>
    </w:p>
    <w:p>
      <w:pPr>
        <w:pStyle w:val="Normal"/>
        <w:tabs>
          <w:tab w:val="left" w:pos="720" w:leader="none"/>
          <w:tab w:val="left" w:pos="1080" w:leader="none"/>
        </w:tabs>
        <w:rPr>
          <w:sz w:val="26"/>
        </w:rPr>
      </w:pPr>
      <w:r>
        <w:rPr>
          <w:sz w:val="26"/>
        </w:rPr>
        <w:tab/>
        <w:t>-</w:t>
        <w:tab/>
        <w:t xml:space="preserve">The International Energy Agency (IEA) in 1999 estimated that removing price subsidies in the eight largest </w:t>
      </w:r>
    </w:p>
    <w:p>
      <w:pPr>
        <w:pStyle w:val="Normal"/>
        <w:tabs>
          <w:tab w:val="left" w:pos="720" w:leader="none"/>
          <w:tab w:val="left" w:pos="1080" w:leader="none"/>
        </w:tabs>
        <w:rPr>
          <w:sz w:val="26"/>
        </w:rPr>
      </w:pPr>
      <w:r>
        <w:rPr>
          <w:sz w:val="26"/>
        </w:rPr>
        <w:tab/>
        <w:tab/>
        <w:t xml:space="preserve">countries outside of OECD  (China, India, Indonesia, Iran, Kazakhstan, Russia, South Africa and </w:t>
      </w:r>
    </w:p>
    <w:p>
      <w:pPr>
        <w:pStyle w:val="Normal"/>
        <w:tabs>
          <w:tab w:val="left" w:pos="720" w:leader="none"/>
          <w:tab w:val="left" w:pos="1080" w:leader="none"/>
        </w:tabs>
        <w:rPr>
          <w:sz w:val="26"/>
        </w:rPr>
      </w:pPr>
      <w:r>
        <w:rPr>
          <w:sz w:val="26"/>
        </w:rPr>
        <w:tab/>
        <w:tab/>
        <w:t>Venezuela) would :</w:t>
      </w:r>
    </w:p>
    <w:p>
      <w:pPr>
        <w:pStyle w:val="Normal"/>
        <w:tabs>
          <w:tab w:val="clear" w:pos="720"/>
          <w:tab w:val="left" w:pos="840" w:leader="none"/>
          <w:tab w:val="left" w:pos="1200" w:leader="none"/>
          <w:tab w:val="left" w:pos="1800" w:leader="none"/>
          <w:tab w:val="left" w:pos="2280" w:leader="none"/>
        </w:tabs>
        <w:spacing w:lineRule="exact" w:line="360"/>
        <w:rPr/>
      </w:pPr>
      <w:r>
        <w:rPr>
          <w:sz w:val="26"/>
        </w:rPr>
        <w:tab/>
        <w:tab/>
        <w:tab/>
      </w:r>
      <w:r>
        <w:rPr>
          <w:rFonts w:eastAsia="Wingdings" w:cs="Wingdings" w:ascii="Wingdings" w:hAnsi="Wingdings"/>
          <w:sz w:val="26"/>
        </w:rPr>
        <w:sym w:font="Wingdings" w:char="f0fc"/>
      </w:r>
      <w:r>
        <w:rPr>
          <w:sz w:val="26"/>
        </w:rPr>
        <w:tab/>
        <w:t>reduce world energy consumption by 13% in those countries and 3.5% worldwide</w:t>
      </w:r>
    </w:p>
    <w:p>
      <w:pPr>
        <w:pStyle w:val="Normal"/>
        <w:tabs>
          <w:tab w:val="clear" w:pos="720"/>
          <w:tab w:val="left" w:pos="840" w:leader="none"/>
          <w:tab w:val="left" w:pos="1200" w:leader="none"/>
          <w:tab w:val="left" w:pos="1800" w:leader="none"/>
          <w:tab w:val="left" w:pos="2280" w:leader="none"/>
        </w:tabs>
        <w:rPr/>
      </w:pPr>
      <w:r>
        <w:rPr>
          <w:sz w:val="26"/>
        </w:rPr>
        <w:tab/>
        <w:tab/>
        <w:tab/>
      </w:r>
      <w:r>
        <w:rPr>
          <w:rFonts w:eastAsia="Wingdings" w:cs="Wingdings" w:ascii="Wingdings" w:hAnsi="Wingdings"/>
          <w:sz w:val="26"/>
        </w:rPr>
        <w:sym w:font="Wingdings" w:char="f0fc"/>
      </w:r>
      <w:r>
        <w:rPr>
          <w:sz w:val="26"/>
        </w:rPr>
        <w:tab/>
        <w:t>reduce CO</w:t>
      </w:r>
      <w:r>
        <w:rPr>
          <w:sz w:val="26"/>
          <w:vertAlign w:val="subscript"/>
        </w:rPr>
        <w:t>2</w:t>
      </w:r>
      <w:r>
        <w:rPr>
          <w:sz w:val="26"/>
        </w:rPr>
        <w:t xml:space="preserve"> emissions by 16% in those countries and 4.6% worldwide</w:t>
      </w:r>
    </w:p>
    <w:p>
      <w:pPr>
        <w:pStyle w:val="Normal"/>
        <w:tabs>
          <w:tab w:val="clear" w:pos="720"/>
          <w:tab w:val="left" w:pos="840" w:leader="none"/>
          <w:tab w:val="left" w:pos="1200" w:leader="none"/>
          <w:tab w:val="left" w:pos="1800" w:leader="none"/>
          <w:tab w:val="left" w:pos="2280" w:leader="none"/>
        </w:tabs>
        <w:rPr>
          <w:sz w:val="26"/>
        </w:rPr>
      </w:pPr>
      <w:r>
        <w:rPr>
          <w:sz w:val="26"/>
        </w:rPr>
      </w:r>
    </w:p>
    <w:p>
      <w:pPr>
        <w:pStyle w:val="Normal"/>
        <w:tabs>
          <w:tab w:val="clear" w:pos="720"/>
          <w:tab w:val="left" w:pos="840" w:leader="none"/>
          <w:tab w:val="left" w:pos="1200" w:leader="none"/>
          <w:tab w:val="left" w:pos="1800" w:leader="none"/>
          <w:tab w:val="left" w:pos="2280" w:leader="none"/>
        </w:tabs>
        <w:rPr>
          <w:sz w:val="26"/>
        </w:rPr>
      </w:pPr>
      <w:r>
        <w:rPr>
          <w:sz w:val="26"/>
        </w:rPr>
        <w:tab/>
        <w:t>-</w:t>
        <w:tab/>
        <w:t xml:space="preserve">These are large reductions, but they reflect price ceilings that are </w:t>
      </w:r>
      <w:r>
        <w:rPr>
          <w:sz w:val="26"/>
          <w:u w:val="single"/>
        </w:rPr>
        <w:t>20% below market levels on average</w:t>
      </w:r>
    </w:p>
    <w:p>
      <w:pPr>
        <w:pStyle w:val="Normal"/>
        <w:tabs>
          <w:tab w:val="clear" w:pos="720"/>
          <w:tab w:val="left" w:pos="840" w:leader="none"/>
          <w:tab w:val="left" w:pos="1200" w:leader="none"/>
          <w:tab w:val="left" w:pos="1800" w:leader="none"/>
          <w:tab w:val="left" w:pos="2280" w:leader="none"/>
        </w:tabs>
        <w:rPr>
          <w:sz w:val="26"/>
        </w:rPr>
      </w:pPr>
      <w:r>
        <w:rPr>
          <w:sz w:val="26"/>
        </w:rPr>
        <w:tab/>
        <w:t>-</w:t>
        <w:tab/>
        <w:t xml:space="preserve">In the U.S., artificial price ceilings also apply to California's electricity market -- over-stimulating usage when </w:t>
      </w:r>
    </w:p>
    <w:p>
      <w:pPr>
        <w:pStyle w:val="Normal"/>
        <w:tabs>
          <w:tab w:val="clear" w:pos="720"/>
          <w:tab w:val="left" w:pos="840" w:leader="none"/>
          <w:tab w:val="left" w:pos="1200" w:leader="none"/>
          <w:tab w:val="left" w:pos="1800" w:leader="none"/>
          <w:tab w:val="left" w:pos="2280" w:leader="none"/>
        </w:tabs>
        <w:rPr>
          <w:sz w:val="26"/>
        </w:rPr>
      </w:pPr>
      <w:r>
        <w:rPr>
          <w:sz w:val="26"/>
        </w:rPr>
        <w:tab/>
        <w:tab/>
        <w:t>supply is critically scarce and conservation/increased efficiency is needed</w:t>
      </w:r>
    </w:p>
    <w:p>
      <w:pPr>
        <w:pStyle w:val="Normal"/>
        <w:tabs>
          <w:tab w:val="clear" w:pos="720"/>
          <w:tab w:val="left" w:pos="840" w:leader="none"/>
          <w:tab w:val="left" w:pos="1200" w:leader="none"/>
          <w:tab w:val="left" w:pos="1800" w:leader="none"/>
          <w:tab w:val="left" w:pos="2280" w:leader="none"/>
        </w:tabs>
        <w:rPr>
          <w:sz w:val="26"/>
        </w:rPr>
      </w:pPr>
      <w:r>
        <w:rPr>
          <w:sz w:val="26"/>
        </w:rPr>
      </w:r>
    </w:p>
    <w:p>
      <w:pPr>
        <w:pStyle w:val="Normal"/>
        <w:numPr>
          <w:ilvl w:val="0"/>
          <w:numId w:val="27"/>
        </w:numPr>
        <w:tabs>
          <w:tab w:val="left" w:pos="720" w:leader="none"/>
          <w:tab w:val="left" w:pos="1260" w:leader="none"/>
          <w:tab w:val="left" w:pos="1800" w:leader="none"/>
          <w:tab w:val="left" w:pos="2250" w:leader="none"/>
        </w:tabs>
        <w:rPr>
          <w:b/>
          <w:sz w:val="26"/>
        </w:rPr>
      </w:pPr>
      <w:r>
        <w:rPr>
          <w:b/>
          <w:sz w:val="26"/>
        </w:rPr>
        <w:t>Remove non-market barriers on less carbon intensive fuels</w:t>
      </w:r>
    </w:p>
    <w:p>
      <w:pPr>
        <w:pStyle w:val="Normal"/>
        <w:tabs>
          <w:tab w:val="left" w:pos="720" w:leader="none"/>
          <w:tab w:val="left" w:pos="1260" w:leader="none"/>
          <w:tab w:val="left" w:pos="1800" w:leader="none"/>
          <w:tab w:val="left" w:pos="2250" w:leader="none"/>
        </w:tabs>
        <w:ind w:hanging="1320" w:start="1320" w:end="0"/>
        <w:rPr>
          <w:sz w:val="26"/>
        </w:rPr>
      </w:pPr>
      <w:r>
        <w:rPr>
          <w:sz w:val="26"/>
        </w:rPr>
        <w:tab/>
        <w:t>-</w:t>
        <w:tab/>
        <w:t xml:space="preserve">All government subsidies to coal, even "clean oil" (an oxymoron?) should be targeted for review </w:t>
      </w:r>
    </w:p>
    <w:p>
      <w:pPr>
        <w:pStyle w:val="Normal"/>
        <w:tabs>
          <w:tab w:val="left" w:pos="720" w:leader="none"/>
          <w:tab w:val="left" w:pos="1260" w:leader="none"/>
          <w:tab w:val="left" w:pos="1800" w:leader="none"/>
          <w:tab w:val="left" w:pos="2250" w:leader="none"/>
        </w:tabs>
        <w:rPr>
          <w:sz w:val="26"/>
        </w:rPr>
      </w:pPr>
      <w:r>
        <w:rPr>
          <w:sz w:val="26"/>
        </w:rPr>
        <w:tab/>
        <w:t>-</w:t>
        <w:tab/>
        <w:t>U.K. has succeeded in removing its moratorium on new natural gas facilities</w:t>
      </w:r>
    </w:p>
    <w:p>
      <w:pPr>
        <w:pStyle w:val="Normal"/>
        <w:tabs>
          <w:tab w:val="left" w:pos="720" w:leader="none"/>
          <w:tab w:val="left" w:pos="1260" w:leader="none"/>
          <w:tab w:val="left" w:pos="1800" w:leader="none"/>
          <w:tab w:val="left" w:pos="2250" w:leader="none"/>
        </w:tabs>
        <w:rPr>
          <w:sz w:val="26"/>
        </w:rPr>
      </w:pPr>
      <w:r>
        <w:rPr>
          <w:sz w:val="26"/>
        </w:rPr>
      </w:r>
    </w:p>
    <w:p>
      <w:pPr>
        <w:pStyle w:val="Normal"/>
        <w:numPr>
          <w:ilvl w:val="0"/>
          <w:numId w:val="15"/>
        </w:numPr>
        <w:tabs>
          <w:tab w:val="left" w:pos="720" w:leader="none"/>
          <w:tab w:val="left" w:pos="1260" w:leader="none"/>
          <w:tab w:val="left" w:pos="1800" w:leader="none"/>
          <w:tab w:val="left" w:pos="2250" w:leader="none"/>
        </w:tabs>
        <w:rPr>
          <w:sz w:val="26"/>
        </w:rPr>
      </w:pPr>
      <w:r>
        <w:rPr>
          <w:b/>
          <w:sz w:val="26"/>
        </w:rPr>
        <w:t>Promote energy outsourcing for private and public facilities</w:t>
      </w:r>
    </w:p>
    <w:p>
      <w:pPr>
        <w:pStyle w:val="Normal"/>
        <w:tabs>
          <w:tab w:val="left" w:pos="720" w:leader="none"/>
          <w:tab w:val="left" w:pos="1320" w:leader="none"/>
        </w:tabs>
        <w:rPr/>
      </w:pPr>
      <w:r>
        <w:rPr>
          <w:b/>
          <w:sz w:val="26"/>
        </w:rPr>
        <w:tab/>
      </w:r>
      <w:r>
        <w:rPr>
          <w:sz w:val="26"/>
        </w:rPr>
        <w:t>-</w:t>
        <w:tab/>
        <w:t>A free market approach that environmentalists and smaller government proponents can support</w:t>
      </w:r>
    </w:p>
    <w:p>
      <w:pPr>
        <w:pStyle w:val="Normal"/>
        <w:tabs>
          <w:tab w:val="left" w:pos="720" w:leader="none"/>
          <w:tab w:val="left" w:pos="1260" w:leader="none"/>
        </w:tabs>
        <w:rPr>
          <w:sz w:val="26"/>
        </w:rPr>
      </w:pPr>
      <w:r>
        <w:rPr>
          <w:sz w:val="26"/>
        </w:rPr>
      </w:r>
    </w:p>
    <w:p>
      <w:pPr>
        <w:pStyle w:val="Normal"/>
        <w:numPr>
          <w:ilvl w:val="0"/>
          <w:numId w:val="24"/>
        </w:numPr>
        <w:tabs>
          <w:tab w:val="left" w:pos="720" w:leader="none"/>
        </w:tabs>
        <w:rPr>
          <w:sz w:val="26"/>
        </w:rPr>
      </w:pPr>
      <w:r>
        <w:rPr>
          <w:b/>
          <w:sz w:val="26"/>
        </w:rPr>
        <w:t>Improve air and water quality to regulated standards</w:t>
      </w:r>
    </w:p>
    <w:p>
      <w:pPr>
        <w:pStyle w:val="Normal"/>
        <w:tabs>
          <w:tab w:val="left" w:pos="720" w:leader="none"/>
        </w:tabs>
        <w:rPr/>
      </w:pPr>
      <w:r>
        <w:rPr>
          <w:b/>
          <w:sz w:val="26"/>
        </w:rPr>
        <w:tab/>
        <w:t>-</w:t>
        <w:tab/>
      </w:r>
      <w:r>
        <w:rPr>
          <w:bCs/>
          <w:sz w:val="26"/>
        </w:rPr>
        <w:t xml:space="preserve">Some </w:t>
      </w:r>
      <w:r>
        <w:rPr>
          <w:sz w:val="26"/>
        </w:rPr>
        <w:t>CO</w:t>
      </w:r>
      <w:r>
        <w:rPr>
          <w:sz w:val="26"/>
          <w:vertAlign w:val="subscript"/>
        </w:rPr>
        <w:t xml:space="preserve">2 </w:t>
      </w:r>
      <w:r>
        <w:rPr>
          <w:bCs/>
          <w:sz w:val="26"/>
        </w:rPr>
        <w:t>reduction as a byproduct of reducing other emissions and shutting down aged infrastructure</w:t>
      </w:r>
    </w:p>
    <w:p>
      <w:pPr>
        <w:pStyle w:val="Normal"/>
        <w:tabs>
          <w:tab w:val="left" w:pos="720" w:leader="none"/>
        </w:tabs>
        <w:rPr>
          <w:bCs/>
          <w:sz w:val="26"/>
        </w:rPr>
      </w:pPr>
      <w:r>
        <w:rPr>
          <w:bCs/>
          <w:sz w:val="26"/>
        </w:rPr>
        <w:tab/>
        <w:t>-</w:t>
        <w:tab/>
        <w:t>New strategies such as peak pricing for electricity and road usage (reduce petroleum demand)</w:t>
      </w:r>
    </w:p>
    <w:p>
      <w:pPr>
        <w:pStyle w:val="Normal"/>
        <w:tabs>
          <w:tab w:val="left" w:pos="720" w:leader="none"/>
        </w:tabs>
        <w:rPr>
          <w:bCs/>
          <w:sz w:val="26"/>
        </w:rPr>
      </w:pPr>
      <w:r>
        <w:rPr>
          <w:bCs/>
          <w:sz w:val="26"/>
        </w:rPr>
      </w:r>
    </w:p>
    <w:p>
      <w:pPr>
        <w:pStyle w:val="Normal"/>
        <w:numPr>
          <w:ilvl w:val="0"/>
          <w:numId w:val="31"/>
        </w:numPr>
        <w:tabs>
          <w:tab w:val="left" w:pos="720" w:leader="none"/>
        </w:tabs>
        <w:rPr>
          <w:b/>
          <w:sz w:val="26"/>
        </w:rPr>
      </w:pPr>
      <w:r>
        <w:rPr>
          <w:b/>
          <w:sz w:val="26"/>
        </w:rPr>
        <w:t>Simplify and modernize the tax code for faster capital turnover</w:t>
      </w:r>
    </w:p>
    <w:p>
      <w:pPr>
        <w:pStyle w:val="Normal"/>
        <w:tabs>
          <w:tab w:val="clear" w:pos="720"/>
          <w:tab w:val="left" w:pos="840" w:leader="none"/>
          <w:tab w:val="left" w:pos="1200" w:leader="none"/>
          <w:tab w:val="left" w:pos="1800" w:leader="none"/>
          <w:tab w:val="left" w:pos="2280" w:leader="none"/>
        </w:tabs>
        <w:rPr>
          <w:sz w:val="32"/>
        </w:rPr>
      </w:pPr>
      <w:r>
        <w:rPr>
          <w:sz w:val="26"/>
        </w:rPr>
        <w:tab/>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Energy Outsourcing:  A New Option</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31"/>
        </w:numPr>
        <w:tabs>
          <w:tab w:val="clear" w:pos="720"/>
          <w:tab w:val="left" w:pos="840" w:leader="none"/>
          <w:tab w:val="left" w:pos="1200" w:leader="none"/>
          <w:tab w:val="left" w:pos="1800" w:leader="none"/>
          <w:tab w:val="left" w:pos="2280" w:leader="none"/>
        </w:tabs>
        <w:rPr>
          <w:sz w:val="28"/>
        </w:rPr>
      </w:pPr>
      <w:r>
        <w:rPr>
          <w:sz w:val="28"/>
        </w:rPr>
        <w:t>Outsourcing is an accepted business practice in an age of increasing specialization</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w:t>
        <w:tab/>
        <w:t>EDS - information technology</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w:t>
        <w:tab/>
        <w:t>Marriott - food service; etc.</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31"/>
        </w:numPr>
        <w:tabs>
          <w:tab w:val="clear" w:pos="720"/>
          <w:tab w:val="left" w:pos="840" w:leader="none"/>
          <w:tab w:val="left" w:pos="1200" w:leader="none"/>
          <w:tab w:val="left" w:pos="1800" w:leader="none"/>
          <w:tab w:val="left" w:pos="2280" w:leader="none"/>
        </w:tabs>
        <w:rPr>
          <w:sz w:val="28"/>
        </w:rPr>
      </w:pPr>
      <w:r>
        <w:rPr>
          <w:sz w:val="28"/>
        </w:rPr>
        <w:t>Energy outsourcing arrived relatively late (around 1997 or so) due to the highly regulated nature of retail natural gas and electricity service.  [Utility demand-side management (DSM) programs were an imperfect substitute before energy outsourcing came of age for large commercial and industrial users]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31"/>
        </w:numPr>
        <w:tabs>
          <w:tab w:val="clear" w:pos="720"/>
          <w:tab w:val="left" w:pos="840" w:leader="none"/>
          <w:tab w:val="left" w:pos="1200" w:leader="none"/>
          <w:tab w:val="left" w:pos="1800" w:leader="none"/>
          <w:tab w:val="left" w:pos="2280" w:leader="none"/>
        </w:tabs>
        <w:rPr>
          <w:sz w:val="28"/>
        </w:rPr>
      </w:pPr>
      <w:r>
        <w:rPr>
          <w:sz w:val="28"/>
        </w:rPr>
        <w:t xml:space="preserve">Basically, energy service companies or ESCOs . . . </w:t>
      </w:r>
      <w:r>
        <w:rPr>
          <w:b/>
          <w:bCs/>
          <w:sz w:val="28"/>
        </w:rPr>
        <w:t>[work from slide]</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480" w:leader="none"/>
          <w:tab w:val="left" w:pos="840" w:leader="none"/>
          <w:tab w:val="left" w:pos="1200" w:leader="none"/>
          <w:tab w:val="left" w:pos="1800" w:leader="none"/>
          <w:tab w:val="left" w:pos="2280" w:leader="none"/>
        </w:tabs>
        <w:rPr>
          <w:sz w:val="28"/>
        </w:rPr>
      </w:pPr>
      <w:r>
        <w:rPr>
          <w:sz w:val="28"/>
        </w:rPr>
        <w:tab/>
        <w:t>This includes:</w:t>
      </w:r>
    </w:p>
    <w:p>
      <w:pPr>
        <w:pStyle w:val="Normal"/>
        <w:tabs>
          <w:tab w:val="clear" w:pos="720"/>
          <w:tab w:val="left" w:pos="480" w:leader="none"/>
          <w:tab w:val="left" w:pos="840" w:leader="none"/>
          <w:tab w:val="left" w:pos="1200" w:leader="none"/>
          <w:tab w:val="left" w:pos="1800" w:leader="none"/>
          <w:tab w:val="left" w:pos="2280" w:leader="none"/>
        </w:tabs>
        <w:spacing w:lineRule="exact" w:line="420"/>
        <w:rPr/>
      </w:pPr>
      <w:r>
        <w:rPr>
          <w:sz w:val="28"/>
        </w:rPr>
        <w:tab/>
        <w:tab/>
      </w:r>
      <w:r>
        <w:rPr>
          <w:rFonts w:eastAsia="SAPDings" w:cs="SAPDings" w:ascii="SAPDings" w:hAnsi="SAPDings"/>
          <w:sz w:val="28"/>
        </w:rPr>
        <w:sym w:font="SAPDings" w:char="f045"/>
      </w:r>
      <w:r>
        <w:rPr>
          <w:sz w:val="28"/>
        </w:rPr>
        <w:tab/>
        <w:t>procuring the energy commodity (Btu's of gas or watts of electricity)</w:t>
      </w:r>
    </w:p>
    <w:p>
      <w:pPr>
        <w:pStyle w:val="Normal"/>
        <w:tabs>
          <w:tab w:val="clear" w:pos="720"/>
          <w:tab w:val="left" w:pos="480" w:leader="none"/>
          <w:tab w:val="left" w:pos="840" w:leader="none"/>
          <w:tab w:val="left" w:pos="1200" w:leader="none"/>
          <w:tab w:val="left" w:pos="1800" w:leader="none"/>
          <w:tab w:val="left" w:pos="2280" w:leader="none"/>
        </w:tabs>
        <w:spacing w:lineRule="exact" w:line="420"/>
        <w:rPr/>
      </w:pPr>
      <w:r>
        <w:rPr>
          <w:sz w:val="28"/>
        </w:rPr>
        <w:tab/>
        <w:tab/>
      </w:r>
      <w:r>
        <w:rPr>
          <w:rFonts w:eastAsia="SAPDings" w:cs="SAPDings" w:ascii="SAPDings" w:hAnsi="SAPDings"/>
          <w:sz w:val="28"/>
        </w:rPr>
        <w:sym w:font="SAPDings" w:char="f045"/>
      </w:r>
      <w:r>
        <w:rPr>
          <w:sz w:val="28"/>
        </w:rPr>
        <w:tab/>
        <w:t>determining usage schedules</w:t>
      </w:r>
    </w:p>
    <w:p>
      <w:pPr>
        <w:pStyle w:val="Normal"/>
        <w:tabs>
          <w:tab w:val="clear" w:pos="720"/>
          <w:tab w:val="left" w:pos="480" w:leader="none"/>
          <w:tab w:val="left" w:pos="840" w:leader="none"/>
          <w:tab w:val="left" w:pos="1200" w:leader="none"/>
          <w:tab w:val="left" w:pos="1800" w:leader="none"/>
          <w:tab w:val="left" w:pos="2280" w:leader="none"/>
        </w:tabs>
        <w:spacing w:lineRule="exact" w:line="420"/>
        <w:rPr/>
      </w:pPr>
      <w:r>
        <w:rPr>
          <w:sz w:val="28"/>
        </w:rPr>
        <w:tab/>
        <w:tab/>
      </w:r>
      <w:r>
        <w:rPr>
          <w:rFonts w:eastAsia="SAPDings" w:cs="SAPDings" w:ascii="SAPDings" w:hAnsi="SAPDings"/>
          <w:sz w:val="28"/>
        </w:rPr>
        <w:sym w:font="SAPDings" w:char="f045"/>
      </w:r>
      <w:r>
        <w:rPr>
          <w:sz w:val="28"/>
        </w:rPr>
        <w:tab/>
        <w:t>maintaining fixtures</w:t>
      </w:r>
    </w:p>
    <w:p>
      <w:pPr>
        <w:pStyle w:val="Normal"/>
        <w:tabs>
          <w:tab w:val="clear" w:pos="720"/>
          <w:tab w:val="left" w:pos="480" w:leader="none"/>
          <w:tab w:val="left" w:pos="840" w:leader="none"/>
          <w:tab w:val="left" w:pos="1200" w:leader="none"/>
          <w:tab w:val="left" w:pos="1800" w:leader="none"/>
          <w:tab w:val="left" w:pos="2280" w:leader="none"/>
        </w:tabs>
        <w:spacing w:lineRule="exact" w:line="420"/>
        <w:rPr/>
      </w:pPr>
      <w:r>
        <w:rPr>
          <w:sz w:val="28"/>
        </w:rPr>
        <w:tab/>
        <w:tab/>
      </w:r>
      <w:r>
        <w:rPr>
          <w:rFonts w:eastAsia="SAPDings" w:cs="SAPDings" w:ascii="SAPDings" w:hAnsi="SAPDings"/>
          <w:sz w:val="28"/>
        </w:rPr>
        <w:sym w:font="SAPDings" w:char="f045"/>
      </w:r>
      <w:r>
        <w:rPr>
          <w:sz w:val="28"/>
        </w:rPr>
        <w:tab/>
        <w:t>replacing hardware</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 w:val="left" w:pos="5520" w:leader="none"/>
        </w:tabs>
        <w:rPr>
          <w:sz w:val="28"/>
        </w:rPr>
      </w:pPr>
      <w:r>
        <w:rPr>
          <w:sz w:val="28"/>
        </w:rPr>
        <w:br/>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Enron Energy Services</w:t>
      </w:r>
    </w:p>
    <w:p>
      <w:pPr>
        <w:pStyle w:val="Normal"/>
        <w:tabs>
          <w:tab w:val="clear" w:pos="720"/>
          <w:tab w:val="left" w:pos="840" w:leader="none"/>
          <w:tab w:val="left" w:pos="1200" w:leader="none"/>
          <w:tab w:val="left" w:pos="1800" w:leader="none"/>
          <w:tab w:val="left" w:pos="2280" w:leader="none"/>
        </w:tabs>
        <w:jc w:val="center"/>
        <w:rPr>
          <w:b/>
          <w:bCs/>
          <w:sz w:val="28"/>
        </w:rPr>
      </w:pPr>
      <w:r>
        <w:rPr>
          <w:b/>
          <w:bCs/>
          <w:sz w:val="28"/>
        </w:rPr>
      </w:r>
    </w:p>
    <w:p>
      <w:pPr>
        <w:pStyle w:val="Normal"/>
        <w:tabs>
          <w:tab w:val="clear" w:pos="720"/>
          <w:tab w:val="left" w:pos="840" w:leader="none"/>
          <w:tab w:val="left" w:pos="1200" w:leader="none"/>
          <w:tab w:val="left" w:pos="1800" w:leader="none"/>
          <w:tab w:val="left" w:pos="2280" w:leader="none"/>
        </w:tabs>
        <w:jc w:val="center"/>
        <w:rPr>
          <w:b/>
          <w:bCs/>
          <w:sz w:val="28"/>
        </w:rPr>
      </w:pPr>
      <w:r>
        <w:rPr>
          <w:b/>
          <w:bCs/>
          <w:sz w:val="28"/>
        </w:rPr>
      </w:r>
    </w:p>
    <w:p>
      <w:pPr>
        <w:pStyle w:val="Normal"/>
        <w:tabs>
          <w:tab w:val="clear" w:pos="720"/>
          <w:tab w:val="left" w:pos="840" w:leader="none"/>
          <w:tab w:val="left" w:pos="1200" w:leader="none"/>
          <w:tab w:val="left" w:pos="1800" w:leader="none"/>
          <w:tab w:val="left" w:pos="2280" w:leader="none"/>
        </w:tabs>
        <w:jc w:val="center"/>
        <w:rPr>
          <w:b/>
          <w:bCs/>
          <w:sz w:val="28"/>
        </w:rPr>
      </w:pPr>
      <w:r>
        <w:rPr>
          <w:b/>
          <w:bCs/>
          <w:sz w:val="28"/>
        </w:rPr>
      </w:r>
    </w:p>
    <w:p>
      <w:pPr>
        <w:pStyle w:val="Normal"/>
        <w:numPr>
          <w:ilvl w:val="0"/>
          <w:numId w:val="11"/>
        </w:numPr>
        <w:tabs>
          <w:tab w:val="clear" w:pos="720"/>
          <w:tab w:val="left" w:pos="840" w:leader="none"/>
          <w:tab w:val="left" w:pos="1200" w:leader="none"/>
          <w:tab w:val="left" w:pos="1800" w:leader="none"/>
          <w:tab w:val="left" w:pos="2280" w:leader="none"/>
        </w:tabs>
        <w:rPr>
          <w:sz w:val="28"/>
        </w:rPr>
      </w:pPr>
      <w:r>
        <w:rPr>
          <w:sz w:val="28"/>
        </w:rPr>
        <w:t xml:space="preserve">Enron Energy Services (EES) is the country's largest full-service energy manager </w:t>
      </w:r>
      <w:r>
        <w:rPr>
          <w:b/>
          <w:bCs/>
          <w:sz w:val="28"/>
        </w:rPr>
        <w:t>[work from slide]</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1"/>
        </w:numPr>
        <w:tabs>
          <w:tab w:val="clear" w:pos="720"/>
          <w:tab w:val="left" w:pos="840" w:leader="none"/>
          <w:tab w:val="left" w:pos="1200" w:leader="none"/>
          <w:tab w:val="left" w:pos="1800" w:leader="none"/>
          <w:tab w:val="left" w:pos="2280" w:leader="none"/>
        </w:tabs>
        <w:rPr>
          <w:sz w:val="28"/>
        </w:rPr>
      </w:pPr>
      <w:r>
        <w:rPr>
          <w:sz w:val="28"/>
        </w:rPr>
        <w:t xml:space="preserve">Since 1997 EES has entered into contracts representing an estimated </w:t>
      </w:r>
      <w:r>
        <w:rPr>
          <w:sz w:val="28"/>
          <w:u w:val="single"/>
        </w:rPr>
        <w:t>$35.5 billion</w:t>
      </w:r>
      <w:r>
        <w:rPr>
          <w:sz w:val="28"/>
        </w:rPr>
        <w:t xml:space="preserve"> in anticipated energy expenditures under the life of the contracts:</w:t>
      </w:r>
    </w:p>
    <w:p>
      <w:pPr>
        <w:pStyle w:val="Normal"/>
        <w:tabs>
          <w:tab w:val="clear" w:pos="720"/>
          <w:tab w:val="left" w:pos="840" w:leader="none"/>
          <w:tab w:val="left" w:pos="5520" w:leader="none"/>
          <w:tab w:val="left" w:pos="7200" w:leader="dot"/>
        </w:tabs>
        <w:spacing w:lineRule="exact" w:line="440"/>
        <w:rPr>
          <w:sz w:val="28"/>
        </w:rPr>
      </w:pPr>
      <w:r>
        <w:rPr>
          <w:sz w:val="28"/>
        </w:rPr>
        <w:tab/>
        <w:tab/>
        <w:t>1997</w:t>
        <w:tab/>
        <w:t>$1.2 billion</w:t>
      </w:r>
    </w:p>
    <w:p>
      <w:pPr>
        <w:pStyle w:val="Normal"/>
        <w:tabs>
          <w:tab w:val="clear" w:pos="720"/>
          <w:tab w:val="left" w:pos="840" w:leader="none"/>
          <w:tab w:val="left" w:pos="5520" w:leader="none"/>
          <w:tab w:val="left" w:pos="7200" w:leader="dot"/>
        </w:tabs>
        <w:spacing w:lineRule="exact" w:line="440"/>
        <w:rPr>
          <w:sz w:val="28"/>
        </w:rPr>
      </w:pPr>
      <w:r>
        <w:rPr>
          <w:sz w:val="28"/>
        </w:rPr>
        <w:tab/>
        <w:tab/>
        <w:t>1998</w:t>
        <w:tab/>
        <w:t>$3.8 billion</w:t>
      </w:r>
    </w:p>
    <w:p>
      <w:pPr>
        <w:pStyle w:val="Normal"/>
        <w:tabs>
          <w:tab w:val="clear" w:pos="720"/>
          <w:tab w:val="left" w:pos="840" w:leader="none"/>
          <w:tab w:val="left" w:pos="5520" w:leader="none"/>
          <w:tab w:val="left" w:pos="7200" w:leader="dot"/>
        </w:tabs>
        <w:spacing w:lineRule="exact" w:line="440"/>
        <w:rPr>
          <w:sz w:val="28"/>
        </w:rPr>
      </w:pPr>
      <w:r>
        <w:rPr>
          <w:sz w:val="28"/>
        </w:rPr>
        <w:tab/>
        <w:tab/>
        <w:t>1999</w:t>
        <w:tab/>
        <w:t>$8.5 billion</w:t>
      </w:r>
    </w:p>
    <w:p>
      <w:pPr>
        <w:pStyle w:val="Normal"/>
        <w:tabs>
          <w:tab w:val="clear" w:pos="720"/>
          <w:tab w:val="left" w:pos="840" w:leader="none"/>
          <w:tab w:val="left" w:pos="5520" w:leader="none"/>
          <w:tab w:val="left" w:pos="7200" w:leader="dot"/>
        </w:tabs>
        <w:spacing w:lineRule="exact" w:line="440"/>
        <w:rPr>
          <w:sz w:val="28"/>
        </w:rPr>
      </w:pPr>
      <w:r>
        <w:rPr>
          <w:sz w:val="28"/>
        </w:rPr>
        <w:tab/>
        <w:tab/>
        <w:t>2000</w:t>
        <w:tab/>
        <w:t>$16.1 billion</w:t>
      </w:r>
    </w:p>
    <w:p>
      <w:pPr>
        <w:pStyle w:val="Normal"/>
        <w:tabs>
          <w:tab w:val="clear" w:pos="720"/>
          <w:tab w:val="left" w:pos="840" w:leader="none"/>
          <w:tab w:val="left" w:pos="5520" w:leader="none"/>
          <w:tab w:val="left" w:pos="7200" w:leader="dot"/>
        </w:tabs>
        <w:spacing w:lineRule="exact" w:line="440"/>
        <w:rPr>
          <w:sz w:val="28"/>
        </w:rPr>
      </w:pPr>
      <w:r>
        <w:rPr>
          <w:sz w:val="28"/>
        </w:rPr>
        <w:tab/>
        <w:tab/>
        <w:t>2001-1Q</w:t>
        <w:tab/>
        <w:t>$5.9 billion ($30 billion in plan)</w:t>
      </w:r>
    </w:p>
    <w:p>
      <w:pPr>
        <w:pStyle w:val="Normal"/>
        <w:tabs>
          <w:tab w:val="clear" w:pos="720"/>
          <w:tab w:val="left" w:pos="840" w:leader="none"/>
          <w:tab w:val="left" w:pos="3360" w:leader="none"/>
          <w:tab w:val="left" w:pos="5520" w:leader="dot"/>
        </w:tabs>
        <w:rPr>
          <w:sz w:val="28"/>
        </w:rPr>
      </w:pPr>
      <w:r>
        <w:rPr>
          <w:sz w:val="28"/>
        </w:rPr>
      </w:r>
    </w:p>
    <w:p>
      <w:pPr>
        <w:pStyle w:val="Normal"/>
        <w:numPr>
          <w:ilvl w:val="0"/>
          <w:numId w:val="5"/>
        </w:numPr>
        <w:tabs>
          <w:tab w:val="clear" w:pos="720"/>
          <w:tab w:val="left" w:pos="840" w:leader="none"/>
          <w:tab w:val="left" w:pos="3360" w:leader="none"/>
          <w:tab w:val="left" w:pos="5520" w:leader="dot"/>
        </w:tabs>
        <w:rPr>
          <w:b/>
          <w:bCs/>
          <w:sz w:val="28"/>
        </w:rPr>
      </w:pPr>
      <w:r>
        <w:rPr>
          <w:b/>
          <w:bCs/>
          <w:sz w:val="28"/>
        </w:rPr>
        <w:t>[work from slide]</w:t>
      </w:r>
    </w:p>
    <w:p>
      <w:pPr>
        <w:pStyle w:val="Normal"/>
        <w:tabs>
          <w:tab w:val="clear" w:pos="720"/>
          <w:tab w:val="left" w:pos="840" w:leader="none"/>
          <w:tab w:val="left" w:pos="3360" w:leader="none"/>
          <w:tab w:val="left" w:pos="5520" w:leader="dot"/>
        </w:tabs>
        <w:rPr>
          <w:b/>
          <w:bCs/>
          <w:sz w:val="28"/>
        </w:rPr>
      </w:pPr>
      <w:r>
        <w:rPr>
          <w:b/>
          <w:bCs/>
          <w:sz w:val="28"/>
        </w:rPr>
      </w:r>
    </w:p>
    <w:p>
      <w:pPr>
        <w:pStyle w:val="Normal"/>
        <w:tabs>
          <w:tab w:val="clear" w:pos="720"/>
          <w:tab w:val="left" w:pos="840" w:leader="none"/>
          <w:tab w:val="left" w:pos="3360" w:leader="none"/>
          <w:tab w:val="left" w:pos="5520" w:leader="dot"/>
        </w:tabs>
        <w:rPr>
          <w:sz w:val="28"/>
        </w:rPr>
      </w:pPr>
      <w:r>
        <w:rPr>
          <w:sz w:val="28"/>
        </w:rPr>
      </w:r>
    </w:p>
    <w:p>
      <w:pPr>
        <w:pStyle w:val="Normal"/>
        <w:numPr>
          <w:ilvl w:val="0"/>
          <w:numId w:val="5"/>
        </w:numPr>
        <w:tabs>
          <w:tab w:val="clear" w:pos="720"/>
          <w:tab w:val="left" w:pos="840" w:leader="none"/>
          <w:tab w:val="left" w:pos="3360" w:leader="none"/>
          <w:tab w:val="left" w:pos="5280" w:leader="none"/>
        </w:tabs>
        <w:rPr>
          <w:sz w:val="28"/>
        </w:rPr>
      </w:pPr>
      <w:r>
        <w:rPr>
          <w:sz w:val="28"/>
        </w:rPr>
        <w:t>The largest full-service contracts include:</w:t>
        <w:tab/>
        <w:t>Eli Lilly</w:t>
      </w:r>
    </w:p>
    <w:p>
      <w:pPr>
        <w:pStyle w:val="Normal"/>
        <w:tabs>
          <w:tab w:val="clear" w:pos="720"/>
          <w:tab w:val="left" w:pos="5280" w:leader="none"/>
        </w:tabs>
        <w:rPr>
          <w:sz w:val="28"/>
        </w:rPr>
      </w:pPr>
      <w:r>
        <w:rPr>
          <w:sz w:val="28"/>
        </w:rPr>
        <w:tab/>
        <w:t>J.C. Penney</w:t>
      </w:r>
    </w:p>
    <w:p>
      <w:pPr>
        <w:pStyle w:val="Normal"/>
        <w:tabs>
          <w:tab w:val="clear" w:pos="720"/>
          <w:tab w:val="left" w:pos="5280" w:leader="none"/>
        </w:tabs>
        <w:rPr>
          <w:sz w:val="28"/>
        </w:rPr>
      </w:pPr>
      <w:r>
        <w:rPr>
          <w:sz w:val="28"/>
        </w:rPr>
        <w:tab/>
        <w:t>Suiza Foods</w:t>
      </w:r>
    </w:p>
    <w:p>
      <w:pPr>
        <w:pStyle w:val="Normal"/>
        <w:tabs>
          <w:tab w:val="clear" w:pos="720"/>
          <w:tab w:val="left" w:pos="5280" w:leader="none"/>
        </w:tabs>
        <w:rPr>
          <w:sz w:val="28"/>
        </w:rPr>
      </w:pPr>
      <w:r>
        <w:rPr>
          <w:sz w:val="28"/>
        </w:rPr>
        <w:tab/>
        <w:t>Starwood</w:t>
      </w:r>
    </w:p>
    <w:p>
      <w:pPr>
        <w:pStyle w:val="Normal"/>
        <w:tabs>
          <w:tab w:val="clear" w:pos="720"/>
          <w:tab w:val="left" w:pos="5280" w:leader="none"/>
        </w:tabs>
        <w:rPr>
          <w:sz w:val="28"/>
        </w:rPr>
      </w:pPr>
      <w:r>
        <w:rPr>
          <w:sz w:val="28"/>
        </w:rPr>
        <w:tab/>
        <w:t>Simon Properties</w:t>
      </w:r>
    </w:p>
    <w:p>
      <w:pPr>
        <w:pStyle w:val="Normal"/>
        <w:tabs>
          <w:tab w:val="clear" w:pos="720"/>
          <w:tab w:val="left" w:pos="5280" w:leader="none"/>
        </w:tabs>
        <w:rPr>
          <w:sz w:val="28"/>
        </w:rPr>
      </w:pPr>
      <w:r>
        <w:rPr>
          <w:sz w:val="28"/>
        </w:rPr>
        <w:tab/>
        <w:t>Quebecor World</w:t>
      </w:r>
    </w:p>
    <w:p>
      <w:pPr>
        <w:pStyle w:val="Normal"/>
        <w:tabs>
          <w:tab w:val="clear" w:pos="720"/>
          <w:tab w:val="left" w:pos="840" w:leader="none"/>
          <w:tab w:val="left" w:pos="3360" w:leader="none"/>
          <w:tab w:val="left" w:pos="5520" w:leader="dot"/>
        </w:tabs>
        <w:rPr>
          <w:sz w:val="28"/>
        </w:rPr>
      </w:pPr>
      <w:r>
        <w:rPr>
          <w:sz w:val="28"/>
        </w:rPr>
      </w:r>
      <w:r>
        <w:br w:type="page"/>
      </w:r>
    </w:p>
    <w:p>
      <w:pPr>
        <w:pStyle w:val="Normal"/>
        <w:tabs>
          <w:tab w:val="clear" w:pos="720"/>
          <w:tab w:val="left" w:pos="840" w:leader="none"/>
          <w:tab w:val="left" w:pos="1200" w:leader="none"/>
          <w:tab w:val="left" w:pos="1800" w:leader="none"/>
          <w:tab w:val="left" w:pos="2280" w:leader="none"/>
        </w:tabs>
        <w:jc w:val="center"/>
        <w:rPr/>
      </w:pPr>
      <w:r>
        <w:rPr>
          <w:b/>
          <w:bCs/>
          <w:sz w:val="28"/>
        </w:rPr>
        <w:t>E</w:t>
      </w:r>
      <w:r>
        <w:rPr>
          <w:b/>
          <w:bCs/>
          <w:sz w:val="32"/>
        </w:rPr>
        <w:t>nergy Efficiency Policy</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23"/>
        </w:numPr>
        <w:tabs>
          <w:tab w:val="clear" w:pos="720"/>
          <w:tab w:val="left" w:pos="840" w:leader="none"/>
          <w:tab w:val="left" w:pos="1200" w:leader="none"/>
          <w:tab w:val="left" w:pos="1800" w:leader="none"/>
          <w:tab w:val="left" w:pos="2280" w:leader="none"/>
        </w:tabs>
        <w:rPr>
          <w:sz w:val="28"/>
        </w:rPr>
      </w:pPr>
      <w:r>
        <w:rPr>
          <w:sz w:val="28"/>
        </w:rPr>
        <w:t>The energy intensity of the U. S. economy has fallen by over 40% since 1970 (and 32% since 1980)</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3"/>
        </w:numPr>
        <w:tabs>
          <w:tab w:val="clear" w:pos="720"/>
          <w:tab w:val="left" w:pos="840" w:leader="none"/>
          <w:tab w:val="left" w:pos="1200" w:leader="none"/>
          <w:tab w:val="left" w:pos="1800" w:leader="none"/>
          <w:tab w:val="left" w:pos="2280" w:leader="none"/>
        </w:tabs>
        <w:rPr>
          <w:sz w:val="28"/>
        </w:rPr>
      </w:pPr>
      <w:r>
        <w:rPr>
          <w:sz w:val="28"/>
        </w:rPr>
        <w:t xml:space="preserve">Continued improvements in energy efficiency is probably the top "no regret" policy for reducing emissions.  However, </w:t>
      </w:r>
      <w:r>
        <w:rPr>
          <w:sz w:val="28"/>
          <w:u w:val="single"/>
        </w:rPr>
        <w:t>total energy usage</w:t>
      </w:r>
      <w:r>
        <w:rPr>
          <w:sz w:val="28"/>
        </w:rPr>
        <w:t xml:space="preserve"> is expected to increase in the U.S. by </w:t>
      </w:r>
      <w:r>
        <w:rPr>
          <w:sz w:val="28"/>
          <w:u w:val="single"/>
        </w:rPr>
        <w:t>1.3%</w:t>
      </w:r>
      <w:r>
        <w:rPr>
          <w:sz w:val="28"/>
        </w:rPr>
        <w:t>/year between now and 2020 (EIA)</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3"/>
        </w:numPr>
        <w:tabs>
          <w:tab w:val="clear" w:pos="720"/>
          <w:tab w:val="left" w:pos="840" w:leader="none"/>
          <w:tab w:val="left" w:pos="1200" w:leader="none"/>
          <w:tab w:val="left" w:pos="1800" w:leader="none"/>
          <w:tab w:val="left" w:pos="2280" w:leader="none"/>
        </w:tabs>
        <w:spacing w:lineRule="auto" w:line="360"/>
        <w:rPr>
          <w:b/>
          <w:bCs/>
          <w:sz w:val="28"/>
        </w:rPr>
      </w:pPr>
      <w:r>
        <w:rPr>
          <w:sz w:val="28"/>
        </w:rPr>
        <w:t xml:space="preserve">Two general approaches highlighted by the California power crisis </w:t>
      </w:r>
      <w:r>
        <w:rPr>
          <w:b/>
          <w:bCs/>
          <w:sz w:val="28"/>
        </w:rPr>
        <w:t>[work from slide]</w:t>
      </w:r>
    </w:p>
    <w:p>
      <w:pPr>
        <w:pStyle w:val="Normal"/>
        <w:tabs>
          <w:tab w:val="clear" w:pos="720"/>
          <w:tab w:val="left" w:pos="840" w:leader="none"/>
          <w:tab w:val="left" w:pos="1200" w:leader="none"/>
          <w:tab w:val="left" w:pos="1800" w:leader="none"/>
          <w:tab w:val="left" w:pos="2280" w:leader="none"/>
        </w:tabs>
        <w:rPr>
          <w:sz w:val="28"/>
        </w:rPr>
      </w:pPr>
      <w:r>
        <w:rPr>
          <w:sz w:val="28"/>
        </w:rPr>
        <w:tab/>
        <w:t>-</w:t>
        <w:tab/>
        <w:t>Real-time price signals to reduce demand to available capacity (free-market approach)</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ind w:hanging="720" w:start="720" w:end="0"/>
        <w:rPr/>
      </w:pPr>
      <w:r>
        <w:rPr>
          <w:sz w:val="28"/>
        </w:rPr>
        <w:tab/>
        <w:t>-</w:t>
        <w:tab/>
        <w:tab/>
        <w:t xml:space="preserve">Exhortation, mandates, and tax incentives to reduce demand in the face of price caps keeping prices </w:t>
        <w:tab/>
        <w:tab/>
        <w:tab/>
        <w:t xml:space="preserve">artificially low.  In this sense, </w:t>
      </w:r>
      <w:r>
        <w:rPr>
          <w:sz w:val="28"/>
          <w:u w:val="single"/>
        </w:rPr>
        <w:t xml:space="preserve">more government involvement is trying to undo what was an initial </w:t>
      </w:r>
    </w:p>
    <w:p>
      <w:pPr>
        <w:pStyle w:val="Normal"/>
        <w:tabs>
          <w:tab w:val="clear" w:pos="720"/>
          <w:tab w:val="left" w:pos="840" w:leader="none"/>
          <w:tab w:val="left" w:pos="1200" w:leader="none"/>
          <w:tab w:val="left" w:pos="1800" w:leader="none"/>
          <w:tab w:val="left" w:pos="2280" w:leader="none"/>
        </w:tabs>
        <w:rPr>
          <w:sz w:val="28"/>
        </w:rPr>
      </w:pPr>
      <w:r>
        <w:rPr>
          <w:sz w:val="28"/>
        </w:rPr>
        <w:tab/>
        <w:tab/>
      </w:r>
      <w:r>
        <w:rPr>
          <w:sz w:val="28"/>
          <w:u w:val="single"/>
        </w:rPr>
        <w:t>government intervention is causing</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6"/>
        </w:numPr>
        <w:tabs>
          <w:tab w:val="clear" w:pos="720"/>
          <w:tab w:val="left" w:pos="840" w:leader="none"/>
          <w:tab w:val="left" w:pos="1200" w:leader="none"/>
          <w:tab w:val="left" w:pos="1800" w:leader="none"/>
          <w:tab w:val="left" w:pos="2280" w:leader="none"/>
        </w:tabs>
        <w:spacing w:lineRule="auto" w:line="360"/>
        <w:rPr>
          <w:sz w:val="28"/>
        </w:rPr>
      </w:pPr>
      <w:r>
        <w:rPr>
          <w:sz w:val="28"/>
        </w:rPr>
        <w:t xml:space="preserve">I question whether "exhort-command-and-subsidize" is an efficient approach versus a price-signal approach.  </w:t>
      </w:r>
    </w:p>
    <w:p>
      <w:pPr>
        <w:pStyle w:val="Normal"/>
        <w:tabs>
          <w:tab w:val="clear" w:pos="720"/>
          <w:tab w:val="left" w:pos="840" w:leader="none"/>
          <w:tab w:val="left" w:pos="1200" w:leader="none"/>
          <w:tab w:val="left" w:pos="1800" w:leader="none"/>
          <w:tab w:val="left" w:pos="2280" w:leader="none"/>
        </w:tabs>
        <w:rPr>
          <w:sz w:val="28"/>
        </w:rPr>
      </w:pPr>
      <w:r>
        <w:rPr>
          <w:sz w:val="28"/>
        </w:rPr>
        <w:tab/>
        <w:t>-</w:t>
        <w:tab/>
        <w:t xml:space="preserve">Not shaving the peak will result in more power plants and future "surplus capacity" for future power </w:t>
      </w:r>
    </w:p>
    <w:p>
      <w:pPr>
        <w:pStyle w:val="Normal"/>
        <w:tabs>
          <w:tab w:val="clear" w:pos="720"/>
          <w:tab w:val="left" w:pos="840" w:leader="none"/>
          <w:tab w:val="left" w:pos="1200" w:leader="none"/>
          <w:tab w:val="left" w:pos="1800" w:leader="none"/>
          <w:tab w:val="left" w:pos="2280" w:leader="none"/>
        </w:tabs>
        <w:rPr>
          <w:sz w:val="28"/>
        </w:rPr>
      </w:pPr>
      <w:r>
        <w:rPr>
          <w:sz w:val="28"/>
        </w:rPr>
        <w:tab/>
        <w:tab/>
        <w:t>sales, something environmentalists do not want</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w:t>
        <w:tab/>
        <w:t xml:space="preserve">Are the right people reducing their usage in the right amounts?  A very complex question that we </w:t>
      </w:r>
    </w:p>
    <w:p>
      <w:pPr>
        <w:pStyle w:val="Normal"/>
        <w:tabs>
          <w:tab w:val="clear" w:pos="720"/>
          <w:tab w:val="left" w:pos="840" w:leader="none"/>
          <w:tab w:val="left" w:pos="1200" w:leader="none"/>
          <w:tab w:val="left" w:pos="1800" w:leader="none"/>
          <w:tab w:val="left" w:pos="2280" w:leader="none"/>
        </w:tabs>
        <w:rPr>
          <w:sz w:val="28"/>
        </w:rPr>
      </w:pPr>
      <w:r>
        <w:rPr>
          <w:sz w:val="28"/>
        </w:rPr>
        <w:tab/>
        <w:tab/>
        <w:t xml:space="preserve">need the price system to help answer. </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ind w:start="5280" w:end="0"/>
        <w:rPr>
          <w:sz w:val="28"/>
        </w:rPr>
      </w:pPr>
      <w:r>
        <w:rPr>
          <w:i/>
          <w:iCs/>
          <w:sz w:val="28"/>
        </w:rPr>
        <w:t>"Ironically, the environmentalists--the lobby crying loudest for increased conservation--are among the most militant supporters of the price caps."</w:t>
      </w:r>
    </w:p>
    <w:p>
      <w:pPr>
        <w:pStyle w:val="Normal"/>
        <w:tabs>
          <w:tab w:val="clear" w:pos="720"/>
          <w:tab w:val="left" w:pos="840" w:leader="none"/>
          <w:tab w:val="left" w:pos="1200" w:leader="none"/>
          <w:tab w:val="left" w:pos="1800" w:leader="none"/>
          <w:tab w:val="left" w:pos="2280" w:leader="none"/>
        </w:tabs>
        <w:ind w:start="5280" w:end="0"/>
        <w:rPr>
          <w:i/>
          <w:i/>
          <w:iCs/>
          <w:sz w:val="28"/>
        </w:rPr>
      </w:pPr>
      <w:r>
        <w:rPr>
          <w:sz w:val="28"/>
        </w:rPr>
        <w:tab/>
        <w:tab/>
        <w:tab/>
        <w:t xml:space="preserve">                             -Jerry Taylor, Cato Institute</w:t>
      </w:r>
    </w:p>
    <w:p>
      <w:pPr>
        <w:pStyle w:val="Normal"/>
        <w:tabs>
          <w:tab w:val="clear" w:pos="720"/>
          <w:tab w:val="left" w:pos="840" w:leader="none"/>
          <w:tab w:val="left" w:pos="1200" w:leader="none"/>
          <w:tab w:val="left" w:pos="1800" w:leader="none"/>
          <w:tab w:val="left" w:pos="2280" w:leader="none"/>
        </w:tabs>
        <w:rPr>
          <w:i/>
          <w:i/>
          <w:iCs/>
          <w:sz w:val="28"/>
        </w:rPr>
      </w:pPr>
      <w:r>
        <w:rPr>
          <w:i/>
          <w:iCs/>
          <w:sz w:val="28"/>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Enron's Multi-Pollutant Strategy</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28"/>
        </w:rPr>
      </w:pPr>
      <w:r>
        <w:rPr>
          <w:b/>
          <w:bCs/>
          <w:sz w:val="28"/>
        </w:rPr>
      </w:r>
    </w:p>
    <w:p>
      <w:pPr>
        <w:pStyle w:val="Normal"/>
        <w:numPr>
          <w:ilvl w:val="0"/>
          <w:numId w:val="16"/>
        </w:numPr>
        <w:tabs>
          <w:tab w:val="clear" w:pos="720"/>
          <w:tab w:val="left" w:pos="840" w:leader="none"/>
          <w:tab w:val="left" w:pos="1200" w:leader="none"/>
          <w:tab w:val="left" w:pos="1800" w:leader="none"/>
          <w:tab w:val="left" w:pos="2280" w:leader="none"/>
        </w:tabs>
        <w:rPr>
          <w:sz w:val="28"/>
        </w:rPr>
      </w:pPr>
      <w:r>
        <w:rPr>
          <w:sz w:val="28"/>
        </w:rPr>
        <w:t xml:space="preserve">Earlier this year a group of power generators and marketers formed a strategy and lobby group - the </w:t>
      </w:r>
      <w:r>
        <w:rPr>
          <w:b/>
          <w:bCs/>
          <w:sz w:val="28"/>
        </w:rPr>
        <w:t>Clean Power Group</w:t>
      </w:r>
      <w:r>
        <w:rPr>
          <w:sz w:val="28"/>
        </w:rPr>
        <w:t xml:space="preserve"> - to influence the multi-pollutant discussions [NO</w:t>
      </w:r>
      <w:r>
        <w:rPr>
          <w:sz w:val="28"/>
          <w:vertAlign w:val="subscript"/>
        </w:rPr>
        <w:t>x</w:t>
      </w:r>
      <w:r>
        <w:rPr>
          <w:sz w:val="28"/>
        </w:rPr>
        <w:t>, SOx, Mercury, and CO</w:t>
      </w:r>
      <w:r>
        <w:rPr>
          <w:sz w:val="28"/>
          <w:vertAlign w:val="subscript"/>
        </w:rPr>
        <w:t>2</w:t>
      </w:r>
      <w:r>
        <w:rPr>
          <w:sz w:val="28"/>
        </w:rPr>
        <w:t xml:space="preserve"> (optional)] coming out of the New Source Review negotiations between EPA and generators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w:t>
        <w:tab/>
        <w:t xml:space="preserve">5 members to date </w:t>
      </w:r>
      <w:r>
        <w:rPr>
          <w:b/>
          <w:bCs/>
          <w:sz w:val="28"/>
        </w:rPr>
        <w:t>[work from slide]</w:t>
      </w:r>
    </w:p>
    <w:p>
      <w:pPr>
        <w:pStyle w:val="Normal"/>
        <w:tabs>
          <w:tab w:val="clear" w:pos="720"/>
          <w:tab w:val="left" w:pos="840" w:leader="none"/>
          <w:tab w:val="left" w:pos="1200" w:leader="none"/>
          <w:tab w:val="left" w:pos="1800" w:leader="none"/>
          <w:tab w:val="left" w:pos="2280" w:leader="none"/>
        </w:tabs>
        <w:rPr>
          <w:sz w:val="28"/>
        </w:rPr>
      </w:pPr>
      <w:r>
        <w:rPr>
          <w:sz w:val="28"/>
        </w:rPr>
        <w:tab/>
        <w:t>-</w:t>
        <w:tab/>
        <w:t>membership expected to expand</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6"/>
        </w:numPr>
        <w:tabs>
          <w:tab w:val="clear" w:pos="720"/>
          <w:tab w:val="left" w:pos="840" w:leader="none"/>
          <w:tab w:val="left" w:pos="1200" w:leader="none"/>
          <w:tab w:val="left" w:pos="1800" w:leader="none"/>
          <w:tab w:val="left" w:pos="2280" w:leader="none"/>
        </w:tabs>
        <w:rPr>
          <w:sz w:val="28"/>
        </w:rPr>
      </w:pPr>
      <w:r>
        <w:rPr>
          <w:sz w:val="28"/>
        </w:rPr>
        <w:t xml:space="preserve">The goals are </w:t>
      </w:r>
      <w:r>
        <w:rPr>
          <w:b/>
          <w:bCs/>
          <w:sz w:val="28"/>
        </w:rPr>
        <w:t>[work from slide]</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6"/>
        </w:numPr>
        <w:tabs>
          <w:tab w:val="clear" w:pos="720"/>
          <w:tab w:val="left" w:pos="840" w:leader="none"/>
          <w:tab w:val="left" w:pos="1200" w:leader="none"/>
          <w:tab w:val="left" w:pos="1800" w:leader="none"/>
          <w:tab w:val="left" w:pos="2280" w:leader="none"/>
        </w:tabs>
        <w:rPr>
          <w:sz w:val="28"/>
        </w:rPr>
      </w:pPr>
      <w:r>
        <w:rPr>
          <w:sz w:val="28"/>
        </w:rPr>
        <w:t>Mechanics: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w:t>
        <w:tab/>
        <w:t xml:space="preserve">Cap-and-trade program would begin with a 100% baseline allowance (say 2001 emissions) and ratchet </w:t>
      </w:r>
    </w:p>
    <w:p>
      <w:pPr>
        <w:pStyle w:val="Normal"/>
        <w:tabs>
          <w:tab w:val="clear" w:pos="720"/>
          <w:tab w:val="left" w:pos="840" w:leader="none"/>
          <w:tab w:val="left" w:pos="1200" w:leader="none"/>
          <w:tab w:val="left" w:pos="1800" w:leader="none"/>
          <w:tab w:val="left" w:pos="2280" w:leader="none"/>
        </w:tabs>
        <w:rPr>
          <w:sz w:val="28"/>
        </w:rPr>
      </w:pPr>
      <w:r>
        <w:rPr>
          <w:sz w:val="28"/>
        </w:rPr>
        <w:tab/>
        <w:tab/>
        <w:t>down with subsequent production increases above 100%</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ab/>
        <w:t xml:space="preserve">A "circuit breaker" could be set at a certain allowance price where additional allowances are released </w:t>
      </w:r>
    </w:p>
    <w:p>
      <w:pPr>
        <w:pStyle w:val="Normal"/>
        <w:tabs>
          <w:tab w:val="clear" w:pos="720"/>
          <w:tab w:val="left" w:pos="840" w:leader="none"/>
          <w:tab w:val="left" w:pos="1200" w:leader="none"/>
          <w:tab w:val="left" w:pos="1800" w:leader="none"/>
          <w:tab w:val="left" w:pos="2280" w:leader="none"/>
        </w:tabs>
        <w:rPr>
          <w:sz w:val="28"/>
        </w:rPr>
      </w:pPr>
      <w:r>
        <w:rPr>
          <w:sz w:val="28"/>
        </w:rPr>
        <w:tab/>
        <w:tab/>
        <w:t>(above the 100% baseline)</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6"/>
        </w:numPr>
        <w:tabs>
          <w:tab w:val="clear" w:pos="720"/>
          <w:tab w:val="left" w:pos="840" w:leader="none"/>
          <w:tab w:val="left" w:pos="1200" w:leader="none"/>
          <w:tab w:val="left" w:pos="1800" w:leader="none"/>
          <w:tab w:val="left" w:pos="2280" w:leader="none"/>
        </w:tabs>
        <w:rPr>
          <w:sz w:val="32"/>
        </w:rPr>
      </w:pPr>
      <w:r>
        <w:rPr>
          <w:sz w:val="28"/>
        </w:rPr>
        <w:t>The end result in a Clean Air Act reopening would be the coordinated regulation of 3 or 4 pollutants - but even a 3-pollutant approach would as a byproduct reduce CO</w:t>
      </w:r>
      <w:r>
        <w:rPr>
          <w:sz w:val="28"/>
          <w:vertAlign w:val="subscript"/>
        </w:rPr>
        <w:t xml:space="preserve">2 </w:t>
      </w:r>
      <w:r>
        <w:rPr>
          <w:sz w:val="28"/>
        </w:rPr>
        <w:t>emissions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7800" w:leader="none"/>
        </w:tabs>
        <w:jc w:val="center"/>
        <w:rPr>
          <w:b/>
          <w:bCs/>
          <w:sz w:val="32"/>
        </w:rPr>
      </w:pPr>
      <w:r>
        <w:rPr>
          <w:b/>
          <w:bCs/>
          <w:sz w:val="32"/>
        </w:rPr>
        <w:t>Electricity Technology Comparison</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9"/>
        </w:numPr>
        <w:tabs>
          <w:tab w:val="clear" w:pos="720"/>
          <w:tab w:val="left" w:pos="840" w:leader="none"/>
          <w:tab w:val="left" w:pos="1200" w:leader="none"/>
          <w:tab w:val="left" w:pos="1800" w:leader="none"/>
          <w:tab w:val="left" w:pos="2280" w:leader="none"/>
          <w:tab w:val="left" w:pos="8520" w:leader="none"/>
        </w:tabs>
        <w:rPr>
          <w:sz w:val="26"/>
        </w:rPr>
      </w:pPr>
      <w:r>
        <w:rPr>
          <w:sz w:val="26"/>
        </w:rPr>
        <w:t xml:space="preserve">A changed price environment has </w:t>
      </w:r>
      <w:r>
        <w:rPr>
          <w:sz w:val="26"/>
          <w:u w:val="single"/>
        </w:rPr>
        <w:t xml:space="preserve">reduced </w:t>
      </w:r>
      <w:r>
        <w:rPr>
          <w:sz w:val="26"/>
        </w:rPr>
        <w:t xml:space="preserve">but </w:t>
      </w:r>
      <w:r>
        <w:rPr>
          <w:sz w:val="26"/>
          <w:u w:val="single"/>
        </w:rPr>
        <w:t>not eliminated</w:t>
      </w:r>
      <w:r>
        <w:rPr>
          <w:sz w:val="26"/>
        </w:rPr>
        <w:t xml:space="preserve"> the economic advantage of a new gas-fired combined cycle plant relative to coal-fired and nuclear power</w:t>
      </w:r>
    </w:p>
    <w:p>
      <w:pPr>
        <w:pStyle w:val="Normal"/>
        <w:tabs>
          <w:tab w:val="clear" w:pos="720"/>
          <w:tab w:val="left" w:pos="840" w:leader="none"/>
          <w:tab w:val="left" w:pos="1200" w:leader="none"/>
          <w:tab w:val="left" w:pos="1800" w:leader="none"/>
          <w:tab w:val="left" w:pos="2280" w:leader="none"/>
        </w:tabs>
        <w:rPr>
          <w:sz w:val="26"/>
        </w:rPr>
      </w:pPr>
      <w:r>
        <w:rPr>
          <w:sz w:val="26"/>
        </w:rPr>
      </w:r>
    </w:p>
    <w:p>
      <w:pPr>
        <w:pStyle w:val="Normal"/>
        <w:numPr>
          <w:ilvl w:val="0"/>
          <w:numId w:val="9"/>
        </w:numPr>
        <w:tabs>
          <w:tab w:val="clear" w:pos="720"/>
          <w:tab w:val="left" w:pos="840" w:leader="none"/>
          <w:tab w:val="left" w:pos="1200" w:leader="none"/>
          <w:tab w:val="left" w:pos="1800" w:leader="none"/>
          <w:tab w:val="left" w:pos="2280" w:leader="none"/>
        </w:tabs>
        <w:rPr>
          <w:b/>
          <w:bCs/>
          <w:sz w:val="26"/>
        </w:rPr>
      </w:pPr>
      <w:r>
        <w:rPr>
          <w:b/>
          <w:bCs/>
          <w:sz w:val="26"/>
        </w:rPr>
        <w:t>[work from slide]</w:t>
      </w:r>
    </w:p>
    <w:p>
      <w:pPr>
        <w:pStyle w:val="Normal"/>
        <w:tabs>
          <w:tab w:val="clear" w:pos="720"/>
          <w:tab w:val="left" w:pos="840" w:leader="none"/>
          <w:tab w:val="left" w:pos="1200" w:leader="none"/>
          <w:tab w:val="left" w:pos="1800" w:leader="none"/>
          <w:tab w:val="left" w:pos="2280" w:leader="none"/>
        </w:tabs>
        <w:rPr>
          <w:b/>
          <w:bCs/>
          <w:sz w:val="26"/>
        </w:rPr>
      </w:pPr>
      <w:r>
        <w:rPr>
          <w:b/>
          <w:bCs/>
          <w:sz w:val="26"/>
        </w:rPr>
      </w:r>
    </w:p>
    <w:p>
      <w:pPr>
        <w:pStyle w:val="Normal"/>
        <w:numPr>
          <w:ilvl w:val="0"/>
          <w:numId w:val="9"/>
        </w:numPr>
        <w:tabs>
          <w:tab w:val="clear" w:pos="720"/>
          <w:tab w:val="left" w:pos="840" w:leader="none"/>
          <w:tab w:val="left" w:pos="1200" w:leader="none"/>
          <w:tab w:val="left" w:pos="1800" w:leader="none"/>
          <w:tab w:val="left" w:pos="2280" w:leader="none"/>
        </w:tabs>
        <w:rPr>
          <w:sz w:val="26"/>
        </w:rPr>
      </w:pPr>
      <w:r>
        <w:rPr>
          <w:sz w:val="26"/>
        </w:rPr>
        <w:t xml:space="preserve">This is why the U.S. Energy Information Administration (DOE) predicts that 92% of anticipated new capacity by 2020 [total:  1,310 plants totaling 393 GW] would be gas-fired and </w:t>
      </w:r>
      <w:r>
        <w:rPr>
          <w:sz w:val="26"/>
          <w:u w:val="single"/>
        </w:rPr>
        <w:t>6% coal-fired</w:t>
      </w:r>
      <w:r>
        <w:rPr>
          <w:sz w:val="26"/>
        </w:rPr>
        <w:t xml:space="preserve"> [but environmental reasons also favor gas as the next slides will show].</w:t>
      </w:r>
    </w:p>
    <w:p>
      <w:pPr>
        <w:pStyle w:val="Normal"/>
        <w:tabs>
          <w:tab w:val="clear" w:pos="720"/>
          <w:tab w:val="left" w:pos="840" w:leader="none"/>
          <w:tab w:val="left" w:pos="1200" w:leader="none"/>
          <w:tab w:val="left" w:pos="1800" w:leader="none"/>
          <w:tab w:val="left" w:pos="2280" w:leader="none"/>
        </w:tabs>
        <w:rPr>
          <w:sz w:val="26"/>
        </w:rPr>
      </w:pPr>
      <w:r>
        <w:rPr>
          <w:sz w:val="26"/>
        </w:rPr>
      </w:r>
    </w:p>
    <w:p>
      <w:pPr>
        <w:pStyle w:val="Normal"/>
        <w:numPr>
          <w:ilvl w:val="0"/>
          <w:numId w:val="9"/>
        </w:numPr>
        <w:tabs>
          <w:tab w:val="clear" w:pos="720"/>
          <w:tab w:val="left" w:pos="840" w:leader="none"/>
          <w:tab w:val="left" w:pos="1200" w:leader="none"/>
          <w:tab w:val="left" w:pos="1800" w:leader="none"/>
          <w:tab w:val="left" w:pos="2280" w:leader="none"/>
        </w:tabs>
        <w:rPr>
          <w:sz w:val="26"/>
        </w:rPr>
      </w:pPr>
      <w:r>
        <w:rPr>
          <w:sz w:val="26"/>
        </w:rPr>
        <w:t>However, the National Coal Council estimates that 40,000 MW of new capacity could be added to existing capacity with greater environmental certainty (a "more rational" interpretation of New Science Review section of the Clean Air Act)</w:t>
      </w:r>
    </w:p>
    <w:p>
      <w:pPr>
        <w:pStyle w:val="Normal"/>
        <w:tabs>
          <w:tab w:val="clear" w:pos="720"/>
          <w:tab w:val="left" w:pos="840" w:leader="none"/>
          <w:tab w:val="left" w:pos="1200" w:leader="none"/>
          <w:tab w:val="left" w:pos="1800" w:leader="none"/>
          <w:tab w:val="left" w:pos="2280" w:leader="none"/>
          <w:tab w:val="left" w:pos="7440" w:leader="none"/>
        </w:tabs>
        <w:rPr>
          <w:sz w:val="26"/>
          <w:u w:val="single"/>
        </w:rPr>
      </w:pPr>
      <w:r>
        <w:rPr>
          <w:b/>
          <w:bCs/>
          <w:sz w:val="26"/>
        </w:rPr>
        <w:tab/>
        <w:tab/>
        <w:tab/>
        <w:tab/>
      </w:r>
      <w:r>
        <w:rPr>
          <w:sz w:val="26"/>
        </w:rPr>
        <w:tab/>
      </w:r>
    </w:p>
    <w:p>
      <w:pPr>
        <w:pStyle w:val="Normal"/>
        <w:tabs>
          <w:tab w:val="clear" w:pos="720"/>
          <w:tab w:val="left" w:pos="1920" w:leader="none"/>
          <w:tab w:val="left" w:pos="2280" w:leader="none"/>
          <w:tab w:val="left" w:pos="7440" w:leader="none"/>
        </w:tabs>
        <w:rPr/>
      </w:pPr>
      <w:r>
        <w:rPr>
          <w:b/>
          <w:bCs/>
          <w:sz w:val="26"/>
        </w:rPr>
        <w:tab/>
        <w:tab/>
      </w:r>
      <w:r>
        <w:rPr>
          <w:sz w:val="26"/>
          <w:u w:val="single"/>
        </w:rPr>
        <w:t>Assumptions</w:t>
      </w:r>
      <w:r>
        <w:rPr>
          <w:sz w:val="26"/>
        </w:rPr>
        <w:tab/>
      </w:r>
      <w:r>
        <w:rPr>
          <w:sz w:val="26"/>
          <w:u w:val="single"/>
        </w:rPr>
        <w:t>Forecast (¢/kWh)</w:t>
      </w:r>
    </w:p>
    <w:p>
      <w:pPr>
        <w:pStyle w:val="Normal"/>
        <w:tabs>
          <w:tab w:val="clear" w:pos="720"/>
          <w:tab w:val="left" w:pos="1920" w:leader="none"/>
          <w:tab w:val="left" w:pos="2520" w:leader="none"/>
          <w:tab w:val="left" w:pos="6240" w:leader="none"/>
          <w:tab w:val="left" w:pos="7440" w:leader="none"/>
        </w:tabs>
        <w:rPr/>
      </w:pPr>
      <w:r>
        <w:rPr>
          <w:sz w:val="26"/>
        </w:rPr>
        <w:tab/>
        <w:t>CFR:</w:t>
        <w:tab/>
        <w:t>13% (20 years)</w:t>
        <w:tab/>
        <w:t xml:space="preserve">                  </w:t>
      </w:r>
      <w:r>
        <w:rPr>
          <w:sz w:val="26"/>
          <w:u w:val="single"/>
        </w:rPr>
        <w:t xml:space="preserve">Gas  </w:t>
      </w:r>
      <w:r>
        <w:rPr>
          <w:sz w:val="26"/>
        </w:rPr>
        <w:t xml:space="preserve">            </w:t>
      </w:r>
      <w:r>
        <w:rPr>
          <w:sz w:val="26"/>
          <w:u w:val="single"/>
        </w:rPr>
        <w:t>Coa</w:t>
      </w:r>
      <w:r>
        <w:rPr>
          <w:sz w:val="26"/>
        </w:rPr>
        <w:t>l</w:t>
      </w:r>
    </w:p>
    <w:p>
      <w:pPr>
        <w:pStyle w:val="Normal"/>
        <w:tabs>
          <w:tab w:val="clear" w:pos="720"/>
          <w:tab w:val="left" w:pos="1920" w:leader="none"/>
          <w:tab w:val="left" w:pos="2520" w:leader="none"/>
          <w:tab w:val="left" w:pos="5400" w:leader="none"/>
          <w:tab w:val="left" w:pos="6240" w:leader="none"/>
          <w:tab w:val="left" w:pos="7440" w:leader="none"/>
          <w:tab w:val="left" w:pos="8760" w:leader="none"/>
        </w:tabs>
        <w:rPr/>
      </w:pPr>
      <w:r>
        <w:rPr>
          <w:sz w:val="26"/>
        </w:rPr>
        <w:tab/>
        <w:tab/>
        <w:t>50% debt; 50% capital</w:t>
        <w:tab/>
        <w:tab/>
      </w:r>
      <w:r>
        <w:rPr>
          <w:b/>
          <w:bCs/>
          <w:sz w:val="26"/>
        </w:rPr>
        <w:t xml:space="preserve">2005      </w:t>
        <w:tab/>
      </w:r>
      <w:r>
        <w:rPr>
          <w:sz w:val="26"/>
        </w:rPr>
        <w:t>4.2</w:t>
      </w:r>
      <w:r>
        <w:rPr>
          <w:b/>
          <w:bCs/>
          <w:sz w:val="26"/>
        </w:rPr>
        <w:tab/>
      </w:r>
      <w:r>
        <w:rPr>
          <w:sz w:val="26"/>
        </w:rPr>
        <w:t>4.3</w:t>
      </w:r>
    </w:p>
    <w:p>
      <w:pPr>
        <w:pStyle w:val="Normal"/>
        <w:tabs>
          <w:tab w:val="clear" w:pos="720"/>
          <w:tab w:val="left" w:pos="1920" w:leader="none"/>
          <w:tab w:val="left" w:pos="2520" w:leader="none"/>
          <w:tab w:val="left" w:pos="5400" w:leader="none"/>
          <w:tab w:val="left" w:pos="6240" w:leader="none"/>
          <w:tab w:val="left" w:pos="7440" w:leader="none"/>
          <w:tab w:val="left" w:pos="8760" w:leader="none"/>
        </w:tabs>
        <w:rPr/>
      </w:pPr>
      <w:r>
        <w:rPr>
          <w:sz w:val="26"/>
        </w:rPr>
        <w:tab/>
        <w:tab/>
        <w:tab/>
        <w:tab/>
      </w:r>
      <w:r>
        <w:rPr>
          <w:b/>
          <w:bCs/>
          <w:sz w:val="26"/>
        </w:rPr>
        <w:t>2006</w:t>
      </w:r>
      <w:r>
        <w:rPr>
          <w:sz w:val="26"/>
        </w:rPr>
        <w:tab/>
        <w:t>3.8</w:t>
        <w:tab/>
        <w:t>4.1</w:t>
      </w:r>
    </w:p>
    <w:p>
      <w:pPr>
        <w:pStyle w:val="Normal"/>
        <w:tabs>
          <w:tab w:val="clear" w:pos="720"/>
          <w:tab w:val="left" w:pos="1920" w:leader="none"/>
          <w:tab w:val="left" w:pos="2520" w:leader="none"/>
          <w:tab w:val="left" w:pos="5400" w:leader="none"/>
          <w:tab w:val="left" w:pos="6840" w:leader="none"/>
          <w:tab w:val="left" w:pos="8160" w:leader="none"/>
          <w:tab w:val="left" w:pos="9360" w:leader="none"/>
        </w:tabs>
        <w:rPr/>
      </w:pPr>
      <w:r>
        <w:rPr>
          <w:sz w:val="26"/>
        </w:rPr>
        <w:tab/>
      </w:r>
      <w:r>
        <w:rPr>
          <w:b/>
          <w:bCs/>
          <w:sz w:val="26"/>
        </w:rPr>
        <w:t>Gas Price</w:t>
      </w:r>
      <w:r>
        <w:rPr>
          <w:sz w:val="26"/>
        </w:rPr>
        <w:t>:  $2.75/MMbtu</w:t>
        <w:tab/>
        <w:tab/>
        <w:t xml:space="preserve">          (</w:t>
      </w:r>
      <w:r>
        <w:rPr/>
        <w:t>U.S. EIA/EEA)</w:t>
      </w:r>
    </w:p>
    <w:p>
      <w:pPr>
        <w:pStyle w:val="Normal"/>
        <w:tabs>
          <w:tab w:val="clear" w:pos="720"/>
          <w:tab w:val="left" w:pos="1920" w:leader="none"/>
          <w:tab w:val="left" w:pos="2520" w:leader="none"/>
          <w:tab w:val="left" w:pos="5400" w:leader="none"/>
          <w:tab w:val="left" w:pos="6840" w:leader="none"/>
          <w:tab w:val="left" w:pos="8160" w:leader="none"/>
          <w:tab w:val="left" w:pos="9360" w:leader="none"/>
        </w:tabs>
        <w:rPr/>
      </w:pPr>
      <w:r>
        <w:rPr>
          <w:sz w:val="26"/>
        </w:rPr>
        <w:tab/>
      </w:r>
      <w:r>
        <w:rPr>
          <w:b/>
          <w:bCs/>
          <w:sz w:val="26"/>
        </w:rPr>
        <w:t>Coal Price</w:t>
      </w:r>
      <w:r>
        <w:rPr>
          <w:sz w:val="26"/>
        </w:rPr>
        <w:t>:  $1.80/MMbut</w:t>
      </w:r>
    </w:p>
    <w:p>
      <w:pPr>
        <w:pStyle w:val="Normal"/>
        <w:tabs>
          <w:tab w:val="clear" w:pos="720"/>
          <w:tab w:val="left" w:pos="1920" w:leader="none"/>
          <w:tab w:val="left" w:pos="2520" w:leader="none"/>
          <w:tab w:val="left" w:pos="5400" w:leader="none"/>
          <w:tab w:val="left" w:pos="6840" w:leader="none"/>
          <w:tab w:val="left" w:pos="8160" w:leader="none"/>
          <w:tab w:val="left" w:pos="9360" w:leader="none"/>
        </w:tabs>
        <w:rPr>
          <w:sz w:val="26"/>
        </w:rPr>
      </w:pPr>
      <w:r>
        <w:rPr>
          <w:sz w:val="26"/>
        </w:rPr>
      </w:r>
    </w:p>
    <w:p>
      <w:pPr>
        <w:pStyle w:val="Normal"/>
        <w:tabs>
          <w:tab w:val="clear" w:pos="720"/>
          <w:tab w:val="left" w:pos="1920" w:leader="none"/>
          <w:tab w:val="left" w:pos="2520" w:leader="none"/>
          <w:tab w:val="left" w:pos="5400" w:leader="none"/>
          <w:tab w:val="left" w:pos="6840" w:leader="none"/>
          <w:tab w:val="left" w:pos="8160" w:leader="none"/>
          <w:tab w:val="left" w:pos="9360" w:leader="none"/>
        </w:tabs>
        <w:rPr>
          <w:sz w:val="26"/>
        </w:rPr>
      </w:pPr>
      <w:r>
        <w:rPr>
          <w:sz w:val="26"/>
        </w:rPr>
        <w:tab/>
        <w:t>Capacity factors:  85%</w:t>
      </w:r>
    </w:p>
    <w:p>
      <w:pPr>
        <w:pStyle w:val="Normal"/>
        <w:tabs>
          <w:tab w:val="clear" w:pos="720"/>
          <w:tab w:val="left" w:pos="1920" w:leader="none"/>
          <w:tab w:val="left" w:pos="2520" w:leader="none"/>
          <w:tab w:val="left" w:pos="5400" w:leader="none"/>
          <w:tab w:val="left" w:pos="6840" w:leader="none"/>
          <w:tab w:val="left" w:pos="8160" w:leader="none"/>
          <w:tab w:val="left" w:pos="9360" w:leader="none"/>
        </w:tabs>
        <w:rPr/>
      </w:pPr>
      <w:r>
        <w:rPr>
          <w:sz w:val="26"/>
        </w:rPr>
        <w:tab/>
      </w:r>
      <w:r>
        <w:rPr>
          <w:b/>
          <w:bCs/>
          <w:sz w:val="26"/>
        </w:rPr>
        <w:t>Size:</w:t>
      </w:r>
      <w:r>
        <w:rPr>
          <w:sz w:val="26"/>
        </w:rPr>
        <w:t xml:space="preserve">  250-400 MW gas; 400 MW coal; 600 MW nuclear</w:t>
      </w:r>
    </w:p>
    <w:p>
      <w:pPr>
        <w:pStyle w:val="Normal"/>
        <w:tabs>
          <w:tab w:val="clear" w:pos="720"/>
          <w:tab w:val="left" w:pos="1920" w:leader="none"/>
          <w:tab w:val="left" w:pos="2520" w:leader="none"/>
          <w:tab w:val="left" w:pos="5400" w:leader="none"/>
          <w:tab w:val="left" w:pos="6840" w:leader="none"/>
          <w:tab w:val="left" w:pos="8160" w:leader="none"/>
          <w:tab w:val="left" w:pos="9360" w:leader="none"/>
        </w:tabs>
        <w:spacing w:lineRule="auto" w:line="360"/>
        <w:rPr/>
      </w:pPr>
      <w:r>
        <w:rPr>
          <w:sz w:val="26"/>
        </w:rPr>
        <w:tab/>
      </w:r>
      <w:r>
        <w:rPr>
          <w:b/>
          <w:bCs/>
          <w:sz w:val="26"/>
        </w:rPr>
        <w:t>Lead time</w:t>
      </w:r>
      <w:r>
        <w:rPr>
          <w:sz w:val="26"/>
        </w:rPr>
        <w:t>:  4 years coal, nuclear; 3 years gas</w:t>
      </w:r>
    </w:p>
    <w:p>
      <w:pPr>
        <w:pStyle w:val="Normal"/>
        <w:tabs>
          <w:tab w:val="clear" w:pos="720"/>
          <w:tab w:val="left" w:pos="1920" w:leader="none"/>
          <w:tab w:val="left" w:pos="2520" w:leader="none"/>
          <w:tab w:val="left" w:pos="5400" w:leader="none"/>
          <w:tab w:val="left" w:pos="6840" w:leader="none"/>
          <w:tab w:val="left" w:pos="8160" w:leader="none"/>
          <w:tab w:val="left" w:pos="9360" w:leader="none"/>
        </w:tabs>
        <w:spacing w:lineRule="auto" w:line="360"/>
        <w:rPr>
          <w:sz w:val="26"/>
        </w:rPr>
      </w:pPr>
      <w:r>
        <w:rPr>
          <w:sz w:val="26"/>
        </w:rPr>
      </w:r>
    </w:p>
    <w:p>
      <w:pPr>
        <w:pStyle w:val="Normal"/>
        <w:numPr>
          <w:ilvl w:val="0"/>
          <w:numId w:val="26"/>
        </w:numPr>
        <w:tabs>
          <w:tab w:val="clear" w:pos="720"/>
          <w:tab w:val="left" w:pos="1920" w:leader="none"/>
          <w:tab w:val="left" w:pos="2520" w:leader="none"/>
          <w:tab w:val="left" w:pos="5400" w:leader="none"/>
          <w:tab w:val="left" w:pos="6840" w:leader="none"/>
          <w:tab w:val="left" w:pos="8160" w:leader="none"/>
          <w:tab w:val="left" w:pos="9360" w:leader="none"/>
        </w:tabs>
        <w:spacing w:lineRule="auto" w:line="360"/>
        <w:rPr>
          <w:sz w:val="26"/>
        </w:rPr>
      </w:pPr>
      <w:r>
        <w:rPr>
          <w:sz w:val="26"/>
        </w:rPr>
        <w:t>Question:  Is nuclear's higher cost justified by air quality and GHG emission advantages?</w:t>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Natural Gas vs. Coal Emissions</w:t>
      </w:r>
    </w:p>
    <w:p>
      <w:pPr>
        <w:pStyle w:val="Normal"/>
        <w:tabs>
          <w:tab w:val="clear" w:pos="720"/>
          <w:tab w:val="left" w:pos="840" w:leader="none"/>
          <w:tab w:val="left" w:pos="1200" w:leader="none"/>
          <w:tab w:val="left" w:pos="1800" w:leader="none"/>
          <w:tab w:val="left" w:pos="2280" w:leader="none"/>
        </w:tabs>
        <w:jc w:val="center"/>
        <w:rPr>
          <w:b/>
          <w:bCs/>
          <w:sz w:val="28"/>
        </w:rPr>
      </w:pPr>
      <w:r>
        <w:rPr>
          <w:b/>
          <w:bCs/>
          <w:sz w:val="28"/>
        </w:rPr>
      </w:r>
    </w:p>
    <w:p>
      <w:pPr>
        <w:pStyle w:val="Normal"/>
        <w:tabs>
          <w:tab w:val="clear" w:pos="720"/>
          <w:tab w:val="left" w:pos="840" w:leader="none"/>
          <w:tab w:val="left" w:pos="1200" w:leader="none"/>
          <w:tab w:val="left" w:pos="1800" w:leader="none"/>
          <w:tab w:val="left" w:pos="2280" w:leader="none"/>
        </w:tabs>
        <w:jc w:val="center"/>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numPr>
          <w:ilvl w:val="0"/>
          <w:numId w:val="14"/>
        </w:numPr>
        <w:tabs>
          <w:tab w:val="clear" w:pos="720"/>
          <w:tab w:val="left" w:pos="840" w:leader="none"/>
          <w:tab w:val="left" w:pos="1200" w:leader="none"/>
          <w:tab w:val="left" w:pos="1800" w:leader="none"/>
          <w:tab w:val="left" w:pos="2280" w:leader="none"/>
        </w:tabs>
        <w:rPr>
          <w:sz w:val="28"/>
        </w:rPr>
      </w:pPr>
      <w:r>
        <w:rPr>
          <w:sz w:val="28"/>
        </w:rPr>
        <w:t xml:space="preserve">New gas-fired combined cycle plants compare favorably with coal in </w:t>
      </w:r>
      <w:r>
        <w:rPr>
          <w:sz w:val="28"/>
          <w:u w:val="single"/>
        </w:rPr>
        <w:t>all six major environmental categories</w:t>
      </w:r>
      <w:r>
        <w:rPr>
          <w:sz w:val="28"/>
        </w:rPr>
        <w:t xml:space="preserve"> shown here</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4"/>
        </w:numPr>
        <w:tabs>
          <w:tab w:val="clear" w:pos="720"/>
          <w:tab w:val="left" w:pos="840" w:leader="none"/>
          <w:tab w:val="left" w:pos="1200" w:leader="none"/>
          <w:tab w:val="left" w:pos="1800" w:leader="none"/>
          <w:tab w:val="left" w:pos="2280" w:leader="none"/>
        </w:tabs>
        <w:rPr>
          <w:b/>
          <w:bCs/>
          <w:sz w:val="28"/>
        </w:rPr>
      </w:pPr>
      <w:r>
        <w:rPr>
          <w:sz w:val="28"/>
        </w:rPr>
        <w:t>The "natural gas advantage" is substantial -- between 58% to 100% for these emissions</w:t>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4"/>
        </w:numPr>
        <w:tabs>
          <w:tab w:val="clear" w:pos="720"/>
          <w:tab w:val="left" w:pos="840" w:leader="none"/>
          <w:tab w:val="left" w:pos="1200" w:leader="none"/>
          <w:tab w:val="left" w:pos="1800" w:leader="none"/>
          <w:tab w:val="left" w:pos="2280" w:leader="none"/>
        </w:tabs>
        <w:rPr>
          <w:sz w:val="28"/>
        </w:rPr>
      </w:pPr>
      <w:r>
        <w:rPr>
          <w:sz w:val="28"/>
        </w:rPr>
        <w:t>CO</w:t>
      </w:r>
      <w:r>
        <w:rPr>
          <w:sz w:val="28"/>
          <w:vertAlign w:val="subscript"/>
        </w:rPr>
        <w:t>2</w:t>
      </w:r>
      <w:r>
        <w:rPr>
          <w:sz w:val="28"/>
        </w:rPr>
        <w:t xml:space="preserve"> is the wild card of the six, and coal generators are trying to receive some certainty in this area to confidently expand capacity</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4"/>
        </w:numPr>
        <w:tabs>
          <w:tab w:val="clear" w:pos="720"/>
          <w:tab w:val="left" w:pos="840" w:leader="none"/>
          <w:tab w:val="left" w:pos="1200" w:leader="none"/>
          <w:tab w:val="left" w:pos="1800" w:leader="none"/>
          <w:tab w:val="left" w:pos="2280" w:leader="none"/>
        </w:tabs>
        <w:rPr>
          <w:sz w:val="28"/>
        </w:rPr>
      </w:pPr>
      <w:r>
        <w:rPr>
          <w:sz w:val="28"/>
        </w:rPr>
        <w:t xml:space="preserve">One new emission that is about to be regulated is </w:t>
      </w:r>
      <w:r>
        <w:rPr>
          <w:b/>
          <w:bCs/>
          <w:sz w:val="28"/>
        </w:rPr>
        <w:t>mercury</w:t>
      </w:r>
      <w:r>
        <w:rPr>
          <w:sz w:val="28"/>
        </w:rPr>
        <w:t xml:space="preserve"> -- gas plants emit less than 1% of the mercury that coal plants do </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U.S. Natural Gas Resources</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18"/>
        </w:numPr>
        <w:rPr>
          <w:sz w:val="28"/>
        </w:rPr>
      </w:pPr>
      <w:r>
        <w:rPr>
          <w:sz w:val="28"/>
        </w:rPr>
        <w:t xml:space="preserve">The domestic natural gas resource base is robust according to the </w:t>
      </w:r>
      <w:r>
        <w:rPr>
          <w:sz w:val="28"/>
          <w:u w:val="single"/>
        </w:rPr>
        <w:t>U.S. Department of Interior</w:t>
      </w:r>
      <w:r>
        <w:rPr>
          <w:sz w:val="28"/>
        </w:rPr>
        <w:t xml:space="preserve">, the </w:t>
      </w:r>
      <w:r>
        <w:rPr>
          <w:sz w:val="28"/>
          <w:u w:val="single"/>
        </w:rPr>
        <w:t>Potential Gas</w:t>
      </w:r>
      <w:r>
        <w:rPr>
          <w:sz w:val="28"/>
        </w:rPr>
        <w:t xml:space="preserve"> </w:t>
      </w:r>
      <w:r>
        <w:rPr>
          <w:sz w:val="28"/>
          <w:u w:val="single"/>
        </w:rPr>
        <w:t>Committee</w:t>
      </w:r>
      <w:r>
        <w:rPr>
          <w:sz w:val="28"/>
        </w:rPr>
        <w:t xml:space="preserve">, the </w:t>
      </w:r>
      <w:r>
        <w:rPr>
          <w:sz w:val="28"/>
          <w:u w:val="single"/>
        </w:rPr>
        <w:t>Gas Research Institute</w:t>
      </w:r>
      <w:r>
        <w:rPr>
          <w:sz w:val="28"/>
        </w:rPr>
        <w:t xml:space="preserve">, and the </w:t>
      </w:r>
      <w:r>
        <w:rPr>
          <w:sz w:val="28"/>
          <w:u w:val="single"/>
        </w:rPr>
        <w:t>National Petroleum Counc</w:t>
      </w:r>
      <w:r>
        <w:rPr>
          <w:sz w:val="28"/>
        </w:rPr>
        <w:t>il</w:t>
        <w:br/>
      </w:r>
    </w:p>
    <w:p>
      <w:pPr>
        <w:pStyle w:val="Normal"/>
        <w:rPr>
          <w:sz w:val="28"/>
        </w:rPr>
      </w:pPr>
      <w:r>
        <w:rPr>
          <w:sz w:val="28"/>
        </w:rPr>
      </w:r>
    </w:p>
    <w:p>
      <w:pPr>
        <w:pStyle w:val="Normal"/>
        <w:numPr>
          <w:ilvl w:val="0"/>
          <w:numId w:val="18"/>
        </w:numPr>
        <w:rPr>
          <w:sz w:val="28"/>
        </w:rPr>
      </w:pPr>
      <w:r>
        <w:rPr>
          <w:sz w:val="28"/>
        </w:rPr>
        <w:t xml:space="preserve">Our latest estimates average around 1,470 Tcf (not including Alaska)-- a 70-80 year supply at current production levels of around 22 Tcf. </w:t>
      </w:r>
    </w:p>
    <w:p>
      <w:pPr>
        <w:pStyle w:val="Normal"/>
        <w:rPr>
          <w:sz w:val="28"/>
        </w:rPr>
      </w:pPr>
      <w:r>
        <w:rPr>
          <w:sz w:val="28"/>
        </w:rPr>
      </w:r>
    </w:p>
    <w:p>
      <w:pPr>
        <w:pStyle w:val="Normal"/>
        <w:rPr>
          <w:sz w:val="28"/>
        </w:rPr>
      </w:pPr>
      <w:r>
        <w:rPr>
          <w:sz w:val="28"/>
        </w:rPr>
      </w:r>
    </w:p>
    <w:p>
      <w:pPr>
        <w:pStyle w:val="Normal"/>
        <w:numPr>
          <w:ilvl w:val="0"/>
          <w:numId w:val="18"/>
        </w:numPr>
        <w:ind w:hanging="432" w:start="432" w:end="24"/>
        <w:rPr>
          <w:sz w:val="28"/>
        </w:rPr>
      </w:pPr>
      <w:r>
        <w:rPr>
          <w:sz w:val="28"/>
        </w:rPr>
        <w:t>Compare this to a mid-1970s estimate of the Interior Department of less than 500 Tcf -- today we estimate three times more reserves after 500 Tcf of interim production!</w:t>
      </w:r>
    </w:p>
    <w:p>
      <w:pPr>
        <w:pStyle w:val="Normal"/>
        <w:rPr>
          <w:sz w:val="28"/>
        </w:rPr>
      </w:pPr>
      <w:r>
        <w:rPr>
          <w:sz w:val="28"/>
        </w:rPr>
      </w:r>
    </w:p>
    <w:p>
      <w:pPr>
        <w:pStyle w:val="Normal"/>
        <w:rPr>
          <w:sz w:val="28"/>
        </w:rPr>
      </w:pPr>
      <w:r>
        <w:rPr>
          <w:sz w:val="28"/>
        </w:rPr>
      </w:r>
    </w:p>
    <w:tbl>
      <w:tblPr>
        <w:tblW w:w="12468" w:type="dxa"/>
        <w:jc w:val="start"/>
        <w:tblInd w:w="708" w:type="dxa"/>
        <w:tblLayout w:type="fixed"/>
        <w:tblCellMar>
          <w:top w:w="0" w:type="dxa"/>
          <w:start w:w="108" w:type="dxa"/>
          <w:bottom w:w="0" w:type="dxa"/>
          <w:end w:w="108" w:type="dxa"/>
        </w:tblCellMar>
      </w:tblPr>
      <w:tblGrid>
        <w:gridCol w:w="7440"/>
        <w:gridCol w:w="5028"/>
      </w:tblGrid>
      <w:tr>
        <w:trPr>
          <w:trHeight w:val="359" w:hRule="atLeast"/>
        </w:trPr>
        <w:tc>
          <w:tcPr>
            <w:tcW w:w="7440" w:type="dxa"/>
            <w:tcBorders/>
          </w:tcPr>
          <w:p>
            <w:pPr>
              <w:pStyle w:val="Normal"/>
              <w:snapToGrid w:val="false"/>
              <w:rPr/>
            </w:pPr>
            <w:r>
              <w:rPr/>
            </w:r>
          </w:p>
        </w:tc>
        <w:tc>
          <w:tcPr>
            <w:tcW w:w="5028" w:type="dxa"/>
            <w:tcBorders/>
          </w:tcPr>
          <w:p>
            <w:pPr>
              <w:pStyle w:val="Normal"/>
              <w:rPr/>
            </w:pPr>
            <w:r>
              <w:rPr/>
              <w:tab/>
              <w:tab/>
            </w:r>
          </w:p>
        </w:tc>
      </w:tr>
      <w:tr>
        <w:trPr/>
        <w:tc>
          <w:tcPr>
            <w:tcW w:w="7440" w:type="dxa"/>
            <w:tcBorders/>
          </w:tcPr>
          <w:p>
            <w:pPr>
              <w:pStyle w:val="Normal"/>
              <w:snapToGrid w:val="false"/>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
                      <wp:simplePos x="0" y="0"/>
                      <wp:positionH relativeFrom="margin">
                        <wp:posOffset>300355</wp:posOffset>
                      </wp:positionH>
                      <wp:positionV relativeFrom="paragraph">
                        <wp:posOffset>232410</wp:posOffset>
                      </wp:positionV>
                      <wp:extent cx="4809490" cy="808990"/>
                      <wp:effectExtent l="0" t="0" r="0" b="0"/>
                      <wp:wrapNone/>
                      <wp:docPr id="1" name="Frame1"/>
                      <a:graphic xmlns:a="http://schemas.openxmlformats.org/drawingml/2006/main">
                        <a:graphicData uri="http://schemas.microsoft.com/office/word/2010/wordprocessingShape">
                          <wps:wsp>
                            <wps:cNvSpPr txBox="1"/>
                            <wps:spPr>
                              <a:xfrm>
                                <a:off x="0" y="0"/>
                                <a:ext cx="4809490" cy="808990"/>
                              </a:xfrm>
                              <a:prstGeom prst="rect"/>
                              <a:solidFill>
                                <a:srgbClr val="FFFFFF"/>
                              </a:solidFill>
                              <a:ln w="9525">
                                <a:solidFill>
                                  <a:srgbClr val="000000"/>
                                </a:solidFill>
                              </a:ln>
                            </wps:spPr>
                            <wps:txbx>
                              <w:txbxContent>
                                <w:p>
                                  <w:pPr>
                                    <w:pStyle w:val="Normal"/>
                                    <w:rPr/>
                                  </w:pPr>
                                  <w:r>
                                    <w:rPr/>
                                    <w:t>Proved = found and economic to produce</w:t>
                                  </w:r>
                                </w:p>
                                <w:p>
                                  <w:pPr>
                                    <w:pStyle w:val="Normal"/>
                                    <w:rPr/>
                                  </w:pPr>
                                  <w:r>
                                    <w:rPr/>
                                    <w:t>Probable = "findable" under reasonable price and technology assumption</w:t>
                                  </w:r>
                                </w:p>
                                <w:p>
                                  <w:pPr>
                                    <w:pStyle w:val="Normal"/>
                                    <w:rPr/>
                                  </w:pPr>
                                  <w:r>
                                    <w:rPr/>
                                    <w:t>Potential = physically present but inaccessible under existing technology</w:t>
                                  </w:r>
                                </w:p>
                              </w:txbxContent>
                            </wps:txbx>
                            <wps:bodyPr anchor="t" lIns="91440" tIns="45720" rIns="91440" bIns="45720">
                              <a:noAutofit/>
                            </wps:bodyPr>
                          </wps:wsp>
                        </a:graphicData>
                      </a:graphic>
                    </wp:anchor>
                  </w:drawing>
                </mc:Choice>
                <mc:Fallback>
                  <w:pict>
                    <v:rect fillcolor="#FFFFFF" strokecolor="#000000" strokeweight="0pt" style="position:absolute;rotation:-0;width:378.7pt;height:63.7pt;mso-wrap-distance-left:9.05pt;mso-wrap-distance-right:9.05pt;mso-wrap-distance-top:0pt;mso-wrap-distance-bottom:0pt;margin-top:18.3pt;mso-position-vertical-relative:text;margin-left:23.65pt;mso-position-horizontal-relative:margin">
                      <v:textbox>
                        <w:txbxContent>
                          <w:p>
                            <w:pPr>
                              <w:pStyle w:val="Normal"/>
                              <w:rPr/>
                            </w:pPr>
                            <w:r>
                              <w:rPr/>
                              <w:t>Proved = found and economic to produce</w:t>
                            </w:r>
                          </w:p>
                          <w:p>
                            <w:pPr>
                              <w:pStyle w:val="Normal"/>
                              <w:rPr/>
                            </w:pPr>
                            <w:r>
                              <w:rPr/>
                              <w:t>Probable = "findable" under reasonable price and technology assumption</w:t>
                            </w:r>
                          </w:p>
                          <w:p>
                            <w:pPr>
                              <w:pStyle w:val="Normal"/>
                              <w:rPr/>
                            </w:pPr>
                            <w:r>
                              <w:rPr/>
                              <w:t>Potential = physically present but inaccessible under existing technology</w:t>
                            </w:r>
                          </w:p>
                        </w:txbxContent>
                      </v:textbox>
                      <w10:wrap type="none"/>
                    </v:rect>
                  </w:pict>
                </mc:Fallback>
              </mc:AlternateContent>
            </w:r>
          </w:p>
        </w:tc>
        <w:tc>
          <w:tcPr>
            <w:tcW w:w="5028" w:type="dxa"/>
            <w:tcBorders/>
          </w:tcPr>
          <w:p>
            <w:pPr>
              <w:pStyle w:val="Normal"/>
              <w:tabs>
                <w:tab w:val="clear" w:pos="720"/>
                <w:tab w:val="left" w:pos="732" w:leader="none"/>
              </w:tabs>
              <w:rPr/>
            </w:pPr>
            <w:r>
              <w:rPr/>
              <w:tab/>
              <w:t xml:space="preserve">Note:  Thomas Gold's hypothesis of a </w:t>
              <w:tab/>
              <w:t xml:space="preserve">biogenic gas supply posits that an </w:t>
              <w:tab/>
              <w:t xml:space="preserve">"enormous source of </w:t>
              <w:tab/>
              <w:t xml:space="preserve">hydrocarbons </w:t>
            </w:r>
          </w:p>
          <w:p>
            <w:pPr>
              <w:pStyle w:val="Normal"/>
              <w:tabs>
                <w:tab w:val="clear" w:pos="720"/>
                <w:tab w:val="left" w:pos="732" w:leader="none"/>
              </w:tabs>
              <w:rPr>
                <w:u w:val="single"/>
              </w:rPr>
            </w:pPr>
            <w:r>
              <w:rPr/>
              <w:tab/>
              <w:t xml:space="preserve">resides in the upper mantle and lower </w:t>
              <w:tab/>
              <w:t xml:space="preserve">crust-- far deeper than can be drilled and </w:t>
              <w:tab/>
              <w:t>sampled directly."  [</w:t>
            </w:r>
            <w:r>
              <w:rPr>
                <w:u w:val="single"/>
              </w:rPr>
              <w:t xml:space="preserve">The Deep Hot </w:t>
            </w:r>
            <w:r>
              <w:rPr/>
              <w:tab/>
            </w:r>
            <w:r>
              <w:rPr>
                <w:u w:val="single"/>
              </w:rPr>
              <w:t>Biosphere</w:t>
            </w:r>
            <w:r>
              <w:rPr/>
              <w:t xml:space="preserve">  (1999)</w:t>
            </w:r>
          </w:p>
          <w:p>
            <w:pPr>
              <w:pStyle w:val="Normal"/>
              <w:tabs>
                <w:tab w:val="clear" w:pos="720"/>
                <w:tab w:val="left" w:pos="252" w:leader="none"/>
              </w:tabs>
              <w:rPr>
                <w:u w:val="single"/>
              </w:rPr>
            </w:pPr>
            <w:r>
              <w:rPr>
                <w:u w:val="single"/>
              </w:rPr>
            </w:r>
          </w:p>
        </w:tc>
      </w:tr>
    </w:tbl>
    <w:p>
      <w:pPr>
        <w:pStyle w:val="Normal"/>
        <w:rPr/>
      </w:pPr>
      <w:r>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tabs>
          <w:tab w:val="clear" w:pos="720"/>
          <w:tab w:val="left" w:pos="6240" w:leader="none"/>
          <w:tab w:val="left" w:pos="6840" w:leader="none"/>
        </w:tabs>
        <w:jc w:val="center"/>
        <w:rPr>
          <w:b/>
          <w:bCs/>
          <w:sz w:val="32"/>
        </w:rPr>
      </w:pPr>
      <w:r>
        <w:rPr>
          <w:b/>
          <w:bCs/>
          <w:sz w:val="32"/>
        </w:rPr>
        <w:t>U.S. Natural Gas Replenishment</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17"/>
        </w:numPr>
        <w:rPr>
          <w:sz w:val="28"/>
        </w:rPr>
      </w:pPr>
      <w:r>
        <w:rPr>
          <w:sz w:val="28"/>
        </w:rPr>
        <w:t>Current estimates of proved reserve and probable resources under-estimate resource base</w:t>
      </w:r>
    </w:p>
    <w:p>
      <w:pPr>
        <w:pStyle w:val="Normal"/>
        <w:rPr>
          <w:sz w:val="28"/>
        </w:rPr>
      </w:pPr>
      <w:r>
        <w:rPr>
          <w:sz w:val="28"/>
        </w:rPr>
      </w:r>
    </w:p>
    <w:p>
      <w:pPr>
        <w:pStyle w:val="Normal"/>
        <w:rPr>
          <w:sz w:val="28"/>
        </w:rPr>
      </w:pPr>
      <w:r>
        <w:rPr>
          <w:sz w:val="28"/>
        </w:rPr>
      </w:r>
    </w:p>
    <w:p>
      <w:pPr>
        <w:pStyle w:val="Normal"/>
        <w:numPr>
          <w:ilvl w:val="0"/>
          <w:numId w:val="17"/>
        </w:numPr>
        <w:rPr>
          <w:sz w:val="28"/>
        </w:rPr>
      </w:pPr>
      <w:r>
        <w:rPr>
          <w:sz w:val="28"/>
        </w:rPr>
        <w:t>1944-2000 production was 847 Tcf, yet proved reserves are around 23 Tcf larger today.  And the American Gas Association reported last week that reserves in 2000 grew by 126%, a gain of 24 Tcf over production of around 22 Tcf</w:t>
      </w:r>
    </w:p>
    <w:p>
      <w:pPr>
        <w:pStyle w:val="Normal"/>
        <w:rPr>
          <w:sz w:val="28"/>
        </w:rPr>
      </w:pPr>
      <w:r>
        <w:rPr>
          <w:sz w:val="28"/>
        </w:rPr>
      </w:r>
    </w:p>
    <w:p>
      <w:pPr>
        <w:pStyle w:val="Normal"/>
        <w:rPr>
          <w:sz w:val="28"/>
        </w:rPr>
      </w:pPr>
      <w:r>
        <w:rPr>
          <w:sz w:val="28"/>
        </w:rPr>
      </w:r>
    </w:p>
    <w:p>
      <w:pPr>
        <w:pStyle w:val="Normal"/>
        <w:numPr>
          <w:ilvl w:val="0"/>
          <w:numId w:val="17"/>
        </w:numPr>
        <w:rPr>
          <w:sz w:val="28"/>
        </w:rPr>
      </w:pPr>
      <w:r>
        <w:rPr>
          <w:sz w:val="28"/>
        </w:rPr>
        <w:t>If AGA's preliminary numbers hold up, today's reserves will be the highest since 1987.  Gas-well completions in the U.S. averaging 1,400 per month since September 2000, are double the completion rate of mid-1999</w:t>
      </w:r>
    </w:p>
    <w:p>
      <w:pPr>
        <w:pStyle w:val="Normal"/>
        <w:rPr>
          <w:sz w:val="28"/>
        </w:rPr>
      </w:pPr>
      <w:r>
        <w:rPr>
          <w:sz w:val="28"/>
        </w:rPr>
      </w:r>
    </w:p>
    <w:p>
      <w:pPr>
        <w:pStyle w:val="Normal"/>
        <w:rPr>
          <w:sz w:val="28"/>
        </w:rPr>
      </w:pPr>
      <w:r>
        <w:rPr>
          <w:sz w:val="28"/>
        </w:rPr>
      </w:r>
    </w:p>
    <w:p>
      <w:pPr>
        <w:pStyle w:val="Normal"/>
        <w:numPr>
          <w:ilvl w:val="0"/>
          <w:numId w:val="17"/>
        </w:numPr>
        <w:rPr>
          <w:sz w:val="28"/>
        </w:rPr>
      </w:pPr>
      <w:r>
        <w:rPr>
          <w:sz w:val="28"/>
        </w:rPr>
        <w:t xml:space="preserve">Same story true globally where proved reserves have </w:t>
      </w:r>
      <w:r>
        <w:rPr>
          <w:sz w:val="28"/>
          <w:u w:val="single"/>
        </w:rPr>
        <w:t>nearly quintupled</w:t>
      </w:r>
      <w:r>
        <w:rPr>
          <w:sz w:val="28"/>
        </w:rPr>
        <w:t xml:space="preserve"> since 1966 (1,041 Tcf in 1966 to            5,145 Tcf today)</w:t>
        <w:br/>
      </w:r>
    </w:p>
    <w:p>
      <w:pPr>
        <w:pStyle w:val="Normal"/>
        <w:rPr>
          <w:sz w:val="28"/>
        </w:rPr>
      </w:pPr>
      <w:r>
        <w:rPr>
          <w:sz w:val="28"/>
        </w:rPr>
      </w:r>
    </w:p>
    <w:p>
      <w:pPr>
        <w:pStyle w:val="Normal"/>
        <w:numPr>
          <w:ilvl w:val="0"/>
          <w:numId w:val="13"/>
        </w:numPr>
        <w:rPr>
          <w:sz w:val="28"/>
          <w:u w:val="single"/>
        </w:rPr>
      </w:pPr>
      <w:r>
        <w:rPr>
          <w:sz w:val="28"/>
        </w:rPr>
        <w:t>Energy economists have not yet seen an unambiguous "depletion signal" with natural gas</w:t>
      </w:r>
    </w:p>
    <w:p>
      <w:pPr>
        <w:pStyle w:val="Normal"/>
        <w:rPr>
          <w:sz w:val="28"/>
          <w:u w:val="single"/>
        </w:rPr>
      </w:pPr>
      <w:r>
        <w:rPr>
          <w:sz w:val="28"/>
          <w:u w:val="single"/>
        </w:rPr>
      </w:r>
    </w:p>
    <w:p>
      <w:pPr>
        <w:pStyle w:val="Normal"/>
        <w:rPr>
          <w:sz w:val="28"/>
          <w:u w:val="single"/>
        </w:rPr>
      </w:pPr>
      <w:r>
        <w:rPr>
          <w:sz w:val="28"/>
          <w:u w:val="single"/>
        </w:rPr>
      </w:r>
    </w:p>
    <w:p>
      <w:pPr>
        <w:pStyle w:val="Normal"/>
        <w:numPr>
          <w:ilvl w:val="0"/>
          <w:numId w:val="13"/>
        </w:numPr>
        <w:rPr>
          <w:sz w:val="28"/>
          <w:u w:val="single"/>
        </w:rPr>
      </w:pPr>
      <w:r>
        <w:rPr>
          <w:sz w:val="28"/>
        </w:rPr>
        <w:t xml:space="preserve"> </w:t>
      </w:r>
      <w:r>
        <w:rPr>
          <w:sz w:val="28"/>
        </w:rPr>
        <w:t>Explanation:  technology and human ingenuity are not "depleting resources" but expanding ones since new ideas expand the production possibility frontier from which further improvements can occur</w:t>
      </w:r>
    </w:p>
    <w:p>
      <w:pPr>
        <w:pStyle w:val="Normal"/>
        <w:rPr>
          <w:sz w:val="28"/>
          <w:u w:val="single"/>
        </w:rPr>
      </w:pPr>
      <w:r>
        <w:rPr>
          <w:sz w:val="28"/>
          <w:u w:val="single"/>
        </w:rPr>
      </w:r>
    </w:p>
    <w:p>
      <w:pPr>
        <w:pStyle w:val="Normal"/>
        <w:rPr>
          <w:sz w:val="28"/>
          <w:u w:val="single"/>
        </w:rPr>
      </w:pPr>
      <w:r>
        <w:rPr>
          <w:sz w:val="28"/>
          <w:u w:val="single"/>
        </w:rPr>
      </w:r>
    </w:p>
    <w:p>
      <w:pPr>
        <w:pStyle w:val="Normal"/>
        <w:rPr>
          <w:sz w:val="28"/>
          <w:u w:val="single"/>
        </w:rPr>
      </w:pPr>
      <w:r>
        <w:rPr>
          <w:sz w:val="28"/>
          <w:u w:val="single"/>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Canadian Natural Gas Replenishment</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28"/>
        </w:numPr>
        <w:ind w:hanging="432" w:start="432" w:end="744"/>
        <w:rPr>
          <w:sz w:val="28"/>
        </w:rPr>
      </w:pPr>
      <w:r>
        <w:rPr>
          <w:sz w:val="28"/>
        </w:rPr>
        <w:t xml:space="preserve">Canadian natural gas reserves important since the U.S. imports </w:t>
      </w:r>
      <w:r>
        <w:rPr>
          <w:sz w:val="28"/>
          <w:u w:val="single"/>
        </w:rPr>
        <w:t>about 14%</w:t>
      </w:r>
      <w:r>
        <w:rPr>
          <w:sz w:val="28"/>
        </w:rPr>
        <w:t xml:space="preserve"> of its consumption from there  </w:t>
      </w:r>
    </w:p>
    <w:p>
      <w:pPr>
        <w:pStyle w:val="Normal"/>
        <w:ind w:end="744"/>
        <w:rPr>
          <w:sz w:val="28"/>
        </w:rPr>
      </w:pPr>
      <w:r>
        <w:rPr>
          <w:sz w:val="28"/>
        </w:rPr>
      </w:r>
    </w:p>
    <w:p>
      <w:pPr>
        <w:pStyle w:val="Normal"/>
        <w:ind w:end="744"/>
        <w:rPr>
          <w:sz w:val="28"/>
        </w:rPr>
      </w:pPr>
      <w:r>
        <w:rPr>
          <w:sz w:val="28"/>
        </w:rPr>
      </w:r>
    </w:p>
    <w:p>
      <w:pPr>
        <w:pStyle w:val="Normal"/>
        <w:ind w:end="744"/>
        <w:rPr>
          <w:sz w:val="28"/>
        </w:rPr>
      </w:pPr>
      <w:r>
        <w:rPr>
          <w:sz w:val="28"/>
        </w:rPr>
      </w:r>
    </w:p>
    <w:p>
      <w:pPr>
        <w:pStyle w:val="Normal"/>
        <w:numPr>
          <w:ilvl w:val="0"/>
          <w:numId w:val="28"/>
        </w:numPr>
        <w:ind w:hanging="432" w:start="432" w:end="744"/>
        <w:rPr>
          <w:b/>
          <w:bCs/>
          <w:sz w:val="28"/>
        </w:rPr>
      </w:pPr>
      <w:r>
        <w:rPr>
          <w:sz w:val="28"/>
        </w:rPr>
        <w:t xml:space="preserve">Like in the United States, Canadian proved gas reserves are greater now than in the 1960s despite interim production that is greater than the original reserve estimate </w:t>
      </w:r>
      <w:r>
        <w:rPr>
          <w:b/>
          <w:bCs/>
          <w:sz w:val="28"/>
        </w:rPr>
        <w:t>[work from slide]</w:t>
      </w:r>
    </w:p>
    <w:p>
      <w:pPr>
        <w:pStyle w:val="Normal"/>
        <w:ind w:end="384"/>
        <w:rPr>
          <w:b/>
          <w:bCs/>
          <w:sz w:val="28"/>
        </w:rPr>
      </w:pPr>
      <w:r>
        <w:rPr>
          <w:b/>
          <w:bCs/>
          <w:sz w:val="28"/>
        </w:rPr>
      </w:r>
    </w:p>
    <w:p>
      <w:pPr>
        <w:pStyle w:val="Normal"/>
        <w:ind w:end="384"/>
        <w:rPr>
          <w:sz w:val="28"/>
        </w:rPr>
      </w:pPr>
      <w:r>
        <w:rPr>
          <w:sz w:val="28"/>
        </w:rPr>
      </w:r>
    </w:p>
    <w:p>
      <w:pPr>
        <w:pStyle w:val="Normal"/>
        <w:ind w:end="384"/>
        <w:rPr>
          <w:sz w:val="28"/>
        </w:rPr>
      </w:pPr>
      <w:r>
        <w:rPr>
          <w:sz w:val="28"/>
        </w:rPr>
      </w:r>
    </w:p>
    <w:p>
      <w:pPr>
        <w:pStyle w:val="Normal"/>
        <w:numPr>
          <w:ilvl w:val="0"/>
          <w:numId w:val="28"/>
        </w:numPr>
        <w:ind w:hanging="432" w:start="432" w:end="384"/>
        <w:rPr>
          <w:sz w:val="28"/>
        </w:rPr>
      </w:pPr>
      <w:r>
        <w:rPr>
          <w:sz w:val="28"/>
        </w:rPr>
        <w:t xml:space="preserve">A natural gas drilling boom is underway in Canada -- 1Q-2001 gas drilling was up 43% from a year before according to the </w:t>
      </w:r>
      <w:r>
        <w:rPr>
          <w:sz w:val="28"/>
          <w:u w:val="single"/>
        </w:rPr>
        <w:t>Petroleum Services Association of Canada</w:t>
      </w:r>
      <w:r>
        <w:rPr>
          <w:sz w:val="28"/>
        </w:rPr>
        <w:t xml:space="preserve"> and </w:t>
      </w:r>
      <w:r>
        <w:rPr>
          <w:sz w:val="28"/>
          <w:u w:val="single"/>
        </w:rPr>
        <w:t>Canadian Association of Oilwell Drilling Contractors</w:t>
      </w:r>
      <w:r>
        <w:rPr>
          <w:sz w:val="28"/>
        </w:rPr>
        <w:t xml:space="preserve"> </w:t>
      </w:r>
    </w:p>
    <w:p>
      <w:pPr>
        <w:pStyle w:val="Normal"/>
        <w:ind w:end="384"/>
        <w:rPr>
          <w:sz w:val="28"/>
        </w:rPr>
      </w:pPr>
      <w:r>
        <w:rPr>
          <w:sz w:val="28"/>
        </w:rPr>
      </w:r>
    </w:p>
    <w:p>
      <w:pPr>
        <w:pStyle w:val="Normal"/>
        <w:ind w:end="384"/>
        <w:rPr>
          <w:sz w:val="28"/>
        </w:rPr>
      </w:pPr>
      <w:r>
        <w:rPr>
          <w:sz w:val="28"/>
        </w:rPr>
      </w:r>
    </w:p>
    <w:p>
      <w:pPr>
        <w:pStyle w:val="Normal"/>
        <w:ind w:end="384"/>
        <w:rPr>
          <w:sz w:val="28"/>
        </w:rPr>
      </w:pPr>
      <w:r>
        <w:rPr>
          <w:sz w:val="28"/>
        </w:rPr>
      </w:r>
    </w:p>
    <w:p>
      <w:pPr>
        <w:pStyle w:val="Normal"/>
        <w:numPr>
          <w:ilvl w:val="0"/>
          <w:numId w:val="28"/>
        </w:numPr>
        <w:ind w:hanging="432" w:start="432" w:end="384"/>
        <w:rPr>
          <w:sz w:val="28"/>
        </w:rPr>
      </w:pPr>
      <w:r>
        <w:rPr>
          <w:sz w:val="28"/>
        </w:rPr>
        <w:t>A decade or two from now we expect proved reserves will still be robust, and the middle bar of actual production will be much higher.  (Hopefully, Mexico will be an important exporter to the U.S. as well.)</w:t>
      </w:r>
    </w:p>
    <w:p>
      <w:pPr>
        <w:pStyle w:val="Normal"/>
        <w:ind w:end="384"/>
        <w:rPr>
          <w:sz w:val="28"/>
        </w:rPr>
      </w:pPr>
      <w:r>
        <w:rPr>
          <w:sz w:val="28"/>
        </w:rPr>
      </w:r>
    </w:p>
    <w:p>
      <w:pPr>
        <w:pStyle w:val="Normal"/>
        <w:ind w:end="384"/>
        <w:rPr>
          <w:sz w:val="28"/>
        </w:rPr>
      </w:pPr>
      <w:r>
        <w:rPr>
          <w:sz w:val="28"/>
        </w:rPr>
      </w:r>
    </w:p>
    <w:p>
      <w:pPr>
        <w:pStyle w:val="Normal"/>
        <w:ind w:end="384"/>
        <w:rPr>
          <w:sz w:val="28"/>
        </w:rPr>
      </w:pPr>
      <w:r>
        <w:rPr>
          <w:sz w:val="28"/>
        </w:rPr>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Natural Gas Forward Curve</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22"/>
        </w:numPr>
        <w:tabs>
          <w:tab w:val="clear" w:pos="720"/>
          <w:tab w:val="left" w:pos="840" w:leader="none"/>
          <w:tab w:val="left" w:pos="1200" w:leader="none"/>
          <w:tab w:val="left" w:pos="1800" w:leader="none"/>
          <w:tab w:val="left" w:pos="2280" w:leader="none"/>
        </w:tabs>
        <w:rPr>
          <w:sz w:val="28"/>
        </w:rPr>
      </w:pPr>
      <w:r>
        <w:rPr>
          <w:sz w:val="28"/>
        </w:rPr>
        <w:t>Media attention to the current spot price of natural gas, particularly after a run-up, often neglects the fact of much lower prices in the out months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2"/>
        </w:numPr>
        <w:tabs>
          <w:tab w:val="clear" w:pos="720"/>
          <w:tab w:val="left" w:pos="840" w:leader="none"/>
          <w:tab w:val="left" w:pos="1200" w:leader="none"/>
          <w:tab w:val="left" w:pos="1800" w:leader="none"/>
          <w:tab w:val="left" w:pos="2280" w:leader="none"/>
        </w:tabs>
        <w:rPr>
          <w:sz w:val="28"/>
        </w:rPr>
      </w:pPr>
      <w:r>
        <w:rPr>
          <w:sz w:val="28"/>
        </w:rPr>
        <w:t>The "backwardation curve" with natural gas is also true with crude oil, coal, and electric power in most markets, which means that the market is working in response to the "high price" environment (reduced demand, greater supply)</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2"/>
        </w:numPr>
        <w:tabs>
          <w:tab w:val="clear" w:pos="720"/>
          <w:tab w:val="left" w:pos="840" w:leader="none"/>
          <w:tab w:val="left" w:pos="1200" w:leader="none"/>
          <w:tab w:val="left" w:pos="1800" w:leader="none"/>
          <w:tab w:val="left" w:pos="2280" w:leader="none"/>
        </w:tabs>
        <w:rPr>
          <w:sz w:val="28"/>
        </w:rPr>
      </w:pPr>
      <w:r>
        <w:rPr>
          <w:sz w:val="28"/>
        </w:rPr>
        <w:t xml:space="preserve">Today's "high" prices, moreover, are less than in the mid-1980s when adjusted for inflation (a dollar in 1985 is worth about $1.70 today). </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2"/>
        </w:numPr>
        <w:tabs>
          <w:tab w:val="clear" w:pos="720"/>
          <w:tab w:val="left" w:pos="840" w:leader="none"/>
          <w:tab w:val="left" w:pos="1200" w:leader="none"/>
          <w:tab w:val="left" w:pos="1800" w:leader="none"/>
          <w:tab w:val="left" w:pos="2280" w:leader="none"/>
        </w:tabs>
        <w:rPr>
          <w:sz w:val="28"/>
        </w:rPr>
      </w:pPr>
      <w:r>
        <w:rPr>
          <w:sz w:val="28"/>
        </w:rPr>
        <w:t xml:space="preserve"> </w:t>
      </w:r>
      <w:r>
        <w:rPr>
          <w:sz w:val="28"/>
        </w:rPr>
        <w:t>Aggregate savings at the city gate compared to base-year 1984 are over $175 billion in today's dollars.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NIMBY &amp; the Environment</w:t>
        <w:b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1"/>
        </w:numPr>
        <w:tabs>
          <w:tab w:val="clear" w:pos="720"/>
          <w:tab w:val="left" w:pos="840" w:leader="none"/>
          <w:tab w:val="left" w:pos="1200" w:leader="none"/>
          <w:tab w:val="left" w:pos="1800" w:leader="none"/>
          <w:tab w:val="left" w:pos="2280" w:leader="none"/>
        </w:tabs>
        <w:rPr>
          <w:sz w:val="28"/>
        </w:rPr>
      </w:pPr>
      <w:r>
        <w:rPr>
          <w:sz w:val="28"/>
        </w:rPr>
        <w:t>The "not in my backyard" (NIMBY) problem is also an environmental problem</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32"/>
        </w:rPr>
      </w:pPr>
      <w:r>
        <w:rPr>
          <w:sz w:val="32"/>
        </w:rPr>
      </w:r>
    </w:p>
    <w:p>
      <w:pPr>
        <w:pStyle w:val="Normal"/>
        <w:numPr>
          <w:ilvl w:val="0"/>
          <w:numId w:val="1"/>
        </w:numPr>
        <w:tabs>
          <w:tab w:val="clear" w:pos="720"/>
          <w:tab w:val="left" w:pos="840" w:leader="none"/>
          <w:tab w:val="left" w:pos="1200" w:leader="none"/>
          <w:tab w:val="left" w:pos="1800" w:leader="none"/>
          <w:tab w:val="left" w:pos="2280" w:leader="none"/>
        </w:tabs>
        <w:rPr>
          <w:b/>
          <w:bCs/>
          <w:sz w:val="28"/>
        </w:rPr>
      </w:pPr>
      <w:r>
        <w:rPr>
          <w:b/>
          <w:bCs/>
          <w:sz w:val="28"/>
        </w:rPr>
        <w:t>[work from slide]</w:t>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32"/>
        </w:rPr>
      </w:pPr>
      <w:r>
        <w:rPr>
          <w:b/>
          <w:bCs/>
          <w:sz w:val="32"/>
        </w:rPr>
      </w:r>
    </w:p>
    <w:p>
      <w:pPr>
        <w:pStyle w:val="Normal"/>
        <w:numPr>
          <w:ilvl w:val="0"/>
          <w:numId w:val="25"/>
        </w:numPr>
        <w:tabs>
          <w:tab w:val="clear" w:pos="720"/>
          <w:tab w:val="left" w:pos="840" w:leader="none"/>
          <w:tab w:val="left" w:pos="1200" w:leader="none"/>
          <w:tab w:val="left" w:pos="1800" w:leader="none"/>
          <w:tab w:val="left" w:pos="2280" w:leader="none"/>
        </w:tabs>
        <w:rPr>
          <w:sz w:val="28"/>
        </w:rPr>
      </w:pPr>
      <w:r>
        <w:rPr>
          <w:sz w:val="28"/>
        </w:rPr>
        <w:t>Many press reports of these pollution issues in California and New York*</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5"/>
        </w:numPr>
        <w:tabs>
          <w:tab w:val="clear" w:pos="720"/>
          <w:tab w:val="left" w:pos="840" w:leader="none"/>
          <w:tab w:val="left" w:pos="1200" w:leader="none"/>
          <w:tab w:val="left" w:pos="1800" w:leader="none"/>
          <w:tab w:val="left" w:pos="2280" w:leader="none"/>
        </w:tabs>
        <w:rPr>
          <w:sz w:val="28"/>
        </w:rPr>
      </w:pPr>
      <w:r>
        <w:rPr>
          <w:sz w:val="28"/>
        </w:rPr>
        <w:t xml:space="preserve">Also, payment problems to smaller generators, many producing renewable energy, has caused California to lose its "green"/luster.  (Mitchell Landsberg, "State Has Lost Global Lead in 'Green' Power," </w:t>
      </w:r>
      <w:r>
        <w:rPr>
          <w:sz w:val="28"/>
          <w:u w:val="single"/>
        </w:rPr>
        <w:t>Los Angeles Times</w:t>
      </w:r>
      <w:r>
        <w:rPr>
          <w:sz w:val="28"/>
        </w:rPr>
        <w:t>, May 16, 2001.</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*"Consolidated Edison plans to restart the most polluting power plant in New York City . . . without an environmental review . . . in case of potential power shortages this summer."</w:t>
      </w:r>
    </w:p>
    <w:p>
      <w:pPr>
        <w:pStyle w:val="Normal"/>
        <w:tabs>
          <w:tab w:val="clear" w:pos="720"/>
          <w:tab w:val="left" w:pos="840" w:leader="none"/>
          <w:tab w:val="left" w:pos="1200" w:leader="none"/>
          <w:tab w:val="left" w:pos="1800" w:leader="none"/>
          <w:tab w:val="left" w:pos="2280" w:leader="none"/>
        </w:tabs>
        <w:rPr>
          <w:sz w:val="28"/>
        </w:rPr>
      </w:pPr>
      <w:r>
        <w:rPr>
          <w:sz w:val="28"/>
        </w:rPr>
        <w:tab/>
        <w:tab/>
        <w:tab/>
        <w:tab/>
        <w:t>-Richard Perez-Pena, "Con Ed to use a Generator That Spews Air Pollution,"</w:t>
      </w:r>
    </w:p>
    <w:p>
      <w:pPr>
        <w:pStyle w:val="Normal"/>
        <w:tabs>
          <w:tab w:val="clear" w:pos="720"/>
          <w:tab w:val="left" w:pos="840" w:leader="none"/>
          <w:tab w:val="left" w:pos="1200" w:leader="none"/>
          <w:tab w:val="left" w:pos="1800" w:leader="none"/>
          <w:tab w:val="left" w:pos="2280" w:leader="none"/>
        </w:tabs>
        <w:rPr/>
      </w:pPr>
      <w:r>
        <w:rPr>
          <w:sz w:val="28"/>
        </w:rPr>
        <w:tab/>
        <w:tab/>
        <w:tab/>
        <w:tab/>
      </w:r>
      <w:r>
        <w:rPr>
          <w:sz w:val="28"/>
          <w:u w:val="single"/>
        </w:rPr>
        <w:t>New York Times</w:t>
      </w:r>
      <w:r>
        <w:rPr>
          <w:sz w:val="28"/>
        </w:rPr>
        <w:t xml:space="preserve">, May </w:t>
        <w:tab/>
        <w:t>2, 2001, p. A17</w:t>
      </w:r>
    </w:p>
    <w:p>
      <w:pPr>
        <w:pStyle w:val="Normal"/>
        <w:tabs>
          <w:tab w:val="clear" w:pos="720"/>
          <w:tab w:val="left" w:pos="840" w:leader="none"/>
          <w:tab w:val="left" w:pos="1200" w:leader="none"/>
          <w:tab w:val="left" w:pos="1800" w:leader="none"/>
          <w:tab w:val="left" w:pos="2280" w:leader="none"/>
        </w:tabs>
        <w:rPr>
          <w:sz w:val="26"/>
        </w:rPr>
      </w:pPr>
      <w:r>
        <w:rPr>
          <w:sz w:val="26"/>
        </w:rPr>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California's Aging Gas-Fired Power Plants</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21"/>
        </w:numPr>
        <w:tabs>
          <w:tab w:val="clear" w:pos="720"/>
          <w:tab w:val="left" w:pos="840" w:leader="none"/>
          <w:tab w:val="left" w:pos="1200" w:leader="none"/>
          <w:tab w:val="left" w:pos="1800" w:leader="none"/>
          <w:tab w:val="left" w:pos="2280" w:leader="none"/>
        </w:tabs>
        <w:rPr>
          <w:sz w:val="28"/>
        </w:rPr>
      </w:pPr>
      <w:r>
        <w:rPr>
          <w:sz w:val="28"/>
        </w:rPr>
        <w:t>A surprising statistic about the California fleet of gas-fired plants is how old they are--which is part of the NIMBY problem blocking new plants at new sites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32"/>
        </w:rPr>
      </w:pPr>
      <w:r>
        <w:rPr>
          <w:sz w:val="32"/>
        </w:rPr>
      </w:r>
    </w:p>
    <w:p>
      <w:pPr>
        <w:pStyle w:val="Normal"/>
        <w:tabs>
          <w:tab w:val="clear" w:pos="720"/>
          <w:tab w:val="left" w:pos="840" w:leader="none"/>
          <w:tab w:val="left" w:pos="1200" w:leader="none"/>
          <w:tab w:val="left" w:pos="1800" w:leader="none"/>
          <w:tab w:val="left" w:pos="2280" w:leader="none"/>
        </w:tabs>
        <w:rPr>
          <w:sz w:val="32"/>
        </w:rPr>
      </w:pPr>
      <w:r>
        <w:rPr>
          <w:sz w:val="32"/>
        </w:rPr>
      </w:r>
    </w:p>
    <w:p>
      <w:pPr>
        <w:pStyle w:val="Normal"/>
        <w:numPr>
          <w:ilvl w:val="0"/>
          <w:numId w:val="21"/>
        </w:numPr>
        <w:tabs>
          <w:tab w:val="clear" w:pos="720"/>
          <w:tab w:val="left" w:pos="840" w:leader="none"/>
          <w:tab w:val="left" w:pos="1200" w:leader="none"/>
          <w:tab w:val="left" w:pos="1800" w:leader="none"/>
          <w:tab w:val="left" w:pos="2280" w:leader="none"/>
        </w:tabs>
        <w:rPr>
          <w:sz w:val="28"/>
        </w:rPr>
      </w:pPr>
      <w:r>
        <w:rPr>
          <w:sz w:val="28"/>
        </w:rPr>
        <w:t>On average, a California gas plant has a heat rate of 40% below the national average (and nearly 50% below Florida's relatively young gas plants)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1"/>
        </w:numPr>
        <w:tabs>
          <w:tab w:val="clear" w:pos="720"/>
          <w:tab w:val="left" w:pos="840" w:leader="none"/>
          <w:tab w:val="left" w:pos="1200" w:leader="none"/>
          <w:tab w:val="left" w:pos="1800" w:leader="none"/>
          <w:tab w:val="left" w:pos="2280" w:leader="none"/>
        </w:tabs>
        <w:rPr>
          <w:sz w:val="32"/>
        </w:rPr>
      </w:pPr>
      <w:r>
        <w:rPr>
          <w:sz w:val="28"/>
        </w:rPr>
        <w:t>So when the Sierra Club favors the construction of a new gas plant near Cisco's headquarters, for example, they are thinking in terms of off-peak displacement of older, more polluting power plants for environmental gain</w:t>
      </w:r>
    </w:p>
    <w:p>
      <w:pPr>
        <w:pStyle w:val="Normal"/>
        <w:tabs>
          <w:tab w:val="clear" w:pos="720"/>
          <w:tab w:val="left" w:pos="840" w:leader="none"/>
          <w:tab w:val="left" w:pos="1200" w:leader="none"/>
          <w:tab w:val="left" w:pos="1800" w:leader="none"/>
          <w:tab w:val="left" w:pos="2280" w:leader="none"/>
        </w:tabs>
        <w:jc w:val="center"/>
        <w:rPr>
          <w:sz w:val="32"/>
        </w:rPr>
      </w:pPr>
      <w:r>
        <w:rPr>
          <w:sz w:val="32"/>
        </w:rPr>
        <w:t xml:space="preserve"> </w:t>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Emissions Comparison</w:t>
        <w:br/>
        <w:t>California Power Generation</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2"/>
        </w:numPr>
        <w:tabs>
          <w:tab w:val="clear" w:pos="720"/>
          <w:tab w:val="left" w:pos="840" w:leader="none"/>
          <w:tab w:val="left" w:pos="1200" w:leader="none"/>
          <w:tab w:val="left" w:pos="1800" w:leader="none"/>
          <w:tab w:val="left" w:pos="2280" w:leader="none"/>
        </w:tabs>
        <w:rPr>
          <w:sz w:val="28"/>
        </w:rPr>
      </w:pPr>
      <w:r>
        <w:rPr>
          <w:sz w:val="28"/>
        </w:rPr>
        <w:t xml:space="preserve">This graph shows what is at stake between old oil and gas plants (there may be oil burning in the San Diego area this summer in dual-fuel plants that normally burn gas) and </w:t>
      </w:r>
      <w:r>
        <w:rPr>
          <w:sz w:val="28"/>
          <w:u w:val="single"/>
        </w:rPr>
        <w:t>new gas versus old gas plants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
        </w:numPr>
        <w:tabs>
          <w:tab w:val="clear" w:pos="720"/>
          <w:tab w:val="left" w:pos="840" w:leader="none"/>
          <w:tab w:val="left" w:pos="1200" w:leader="none"/>
          <w:tab w:val="left" w:pos="1800" w:leader="none"/>
          <w:tab w:val="left" w:pos="2280" w:leader="none"/>
        </w:tabs>
        <w:rPr>
          <w:sz w:val="28"/>
        </w:rPr>
      </w:pPr>
      <w:r>
        <w:rPr>
          <w:sz w:val="28"/>
        </w:rPr>
        <w:t>[NO</w:t>
      </w:r>
      <w:r>
        <w:rPr>
          <w:sz w:val="28"/>
          <w:vertAlign w:val="subscript"/>
        </w:rPr>
        <w:t>x</w:t>
      </w:r>
      <w:r>
        <w:rPr>
          <w:sz w:val="28"/>
        </w:rPr>
        <w:t xml:space="preserve"> and SO</w:t>
      </w:r>
      <w:r>
        <w:rPr>
          <w:sz w:val="28"/>
          <w:vertAlign w:val="subscript"/>
        </w:rPr>
        <w:t>x</w:t>
      </w:r>
      <w:r>
        <w:rPr>
          <w:sz w:val="28"/>
        </w:rPr>
        <w:t xml:space="preserve">  -  </w:t>
      </w:r>
      <w:r>
        <w:rPr>
          <w:b/>
          <w:bCs/>
          <w:sz w:val="28"/>
        </w:rPr>
        <w:t>work from slide</w:t>
      </w:r>
      <w:r>
        <w:rPr>
          <w:sz w:val="28"/>
        </w:rPr>
        <w:t>]</w:t>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Emissions Comparison</w:t>
        <w:br/>
        <w:t>California Power Generation (cont.)</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12"/>
        </w:numPr>
        <w:tabs>
          <w:tab w:val="clear" w:pos="720"/>
          <w:tab w:val="left" w:pos="840" w:leader="none"/>
          <w:tab w:val="left" w:pos="1200" w:leader="none"/>
          <w:tab w:val="left" w:pos="1800" w:leader="none"/>
          <w:tab w:val="left" w:pos="2280" w:leader="none"/>
        </w:tabs>
        <w:rPr>
          <w:sz w:val="32"/>
        </w:rPr>
      </w:pPr>
      <w:r>
        <w:rPr>
          <w:sz w:val="32"/>
        </w:rPr>
        <w:t>[PM</w:t>
      </w:r>
      <w:r>
        <w:rPr>
          <w:sz w:val="32"/>
          <w:vertAlign w:val="subscript"/>
        </w:rPr>
        <w:t>10</w:t>
      </w:r>
      <w:r>
        <w:rPr>
          <w:sz w:val="32"/>
        </w:rPr>
        <w:t xml:space="preserve"> and CO</w:t>
      </w:r>
      <w:r>
        <w:rPr>
          <w:sz w:val="32"/>
          <w:vertAlign w:val="subscript"/>
        </w:rPr>
        <w:t xml:space="preserve">2  </w:t>
      </w:r>
      <w:r>
        <w:rPr>
          <w:sz w:val="32"/>
        </w:rPr>
        <w:t>-</w:t>
      </w:r>
      <w:r>
        <w:rPr>
          <w:sz w:val="32"/>
          <w:vertAlign w:val="subscript"/>
        </w:rPr>
        <w:t xml:space="preserve">  </w:t>
      </w:r>
      <w:r>
        <w:rPr>
          <w:b/>
          <w:bCs/>
          <w:sz w:val="32"/>
        </w:rPr>
        <w:t>work from slide</w:t>
      </w:r>
      <w:r>
        <w:rPr>
          <w:sz w:val="32"/>
        </w:rPr>
        <w:t>]</w:t>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Wind Power Progress</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2"/>
        </w:numPr>
        <w:tabs>
          <w:tab w:val="clear" w:pos="720"/>
          <w:tab w:val="left" w:pos="840" w:leader="none"/>
          <w:tab w:val="left" w:pos="1200" w:leader="none"/>
          <w:tab w:val="left" w:pos="1800" w:leader="none"/>
          <w:tab w:val="left" w:pos="2280" w:leader="none"/>
        </w:tabs>
        <w:rPr>
          <w:sz w:val="28"/>
        </w:rPr>
      </w:pPr>
      <w:r>
        <w:rPr>
          <w:sz w:val="28"/>
        </w:rPr>
        <w:t xml:space="preserve">This chart shows two interrelated factors favoring wind -- </w:t>
      </w:r>
      <w:r>
        <w:rPr>
          <w:sz w:val="28"/>
          <w:u w:val="single"/>
        </w:rPr>
        <w:t>falling costs</w:t>
      </w:r>
      <w:r>
        <w:rPr>
          <w:sz w:val="28"/>
        </w:rPr>
        <w:t xml:space="preserve"> and </w:t>
      </w:r>
      <w:r>
        <w:rPr>
          <w:sz w:val="28"/>
          <w:u w:val="single"/>
        </w:rPr>
        <w:t>rising capacity</w:t>
      </w:r>
      <w:r>
        <w:rPr>
          <w:sz w:val="28"/>
        </w:rPr>
        <w:t xml:space="preserve"> </w:t>
      </w:r>
      <w:r>
        <w:rPr>
          <w:b/>
          <w:bCs/>
          <w:sz w:val="28"/>
        </w:rPr>
        <w:t>[work from slide]</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
        </w:numPr>
        <w:tabs>
          <w:tab w:val="clear" w:pos="720"/>
          <w:tab w:val="left" w:pos="840" w:leader="none"/>
          <w:tab w:val="left" w:pos="1200" w:leader="none"/>
          <w:tab w:val="left" w:pos="1800" w:leader="none"/>
          <w:tab w:val="left" w:pos="2280" w:leader="none"/>
        </w:tabs>
        <w:rPr>
          <w:sz w:val="28"/>
        </w:rPr>
      </w:pPr>
      <w:r>
        <w:rPr>
          <w:sz w:val="28"/>
        </w:rPr>
        <w:t>Current cost of wind, assuming favorable projects, is around 4.3¢/kWh with the production tax credit (PTC) and 5.0¢/kWh without it</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
        </w:numPr>
        <w:tabs>
          <w:tab w:val="clear" w:pos="720"/>
          <w:tab w:val="left" w:pos="840" w:leader="none"/>
          <w:tab w:val="left" w:pos="1200" w:leader="none"/>
          <w:tab w:val="left" w:pos="1800" w:leader="none"/>
          <w:tab w:val="left" w:pos="2280" w:leader="none"/>
        </w:tabs>
        <w:rPr>
          <w:sz w:val="28"/>
        </w:rPr>
      </w:pPr>
      <w:r>
        <w:rPr>
          <w:sz w:val="28"/>
        </w:rPr>
        <w:t>However, despite rapid growth, high anticipated growth in U.S. (1.8%/yr) and global power demand (2.7%/yr) will keep wind with a small market share.</w:t>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t>Enron Wind Company</w:t>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w:t>
        <w:tab/>
        <w:t xml:space="preserve">Since its beginning in 1980, Enron Wind has developed and/or sold more than 4,400 wind turbines </w:t>
      </w:r>
    </w:p>
    <w:p>
      <w:pPr>
        <w:pStyle w:val="Normal"/>
        <w:tabs>
          <w:tab w:val="clear" w:pos="720"/>
          <w:tab w:val="left" w:pos="840" w:leader="none"/>
          <w:tab w:val="left" w:pos="1200" w:leader="none"/>
          <w:tab w:val="left" w:pos="1800" w:leader="none"/>
          <w:tab w:val="left" w:pos="2280" w:leader="none"/>
        </w:tabs>
        <w:ind w:start="840" w:end="0"/>
        <w:rPr>
          <w:sz w:val="28"/>
        </w:rPr>
      </w:pPr>
      <w:r>
        <w:rPr>
          <w:sz w:val="28"/>
        </w:rPr>
        <w:tab/>
        <w:t xml:space="preserve">around the globe comprising more than 1,500 megawatts of capacity (calculated at a 30%                </w:t>
      </w:r>
    </w:p>
    <w:p>
      <w:pPr>
        <w:pStyle w:val="Normal"/>
        <w:tabs>
          <w:tab w:val="clear" w:pos="720"/>
          <w:tab w:val="left" w:pos="840" w:leader="none"/>
          <w:tab w:val="left" w:pos="1200" w:leader="none"/>
          <w:tab w:val="left" w:pos="1800" w:leader="none"/>
          <w:tab w:val="left" w:pos="2280" w:leader="none"/>
        </w:tabs>
        <w:ind w:start="840" w:end="0"/>
        <w:rPr>
          <w:sz w:val="28"/>
        </w:rPr>
      </w:pPr>
      <w:r>
        <w:rPr>
          <w:sz w:val="28"/>
        </w:rPr>
        <w:tab/>
        <w:t>capacity factor)</w:t>
      </w:r>
    </w:p>
    <w:p>
      <w:pPr>
        <w:pStyle w:val="Normal"/>
        <w:tabs>
          <w:tab w:val="clear" w:pos="720"/>
          <w:tab w:val="left" w:pos="840" w:leader="none"/>
          <w:tab w:val="left" w:pos="1200" w:leader="none"/>
          <w:tab w:val="left" w:pos="1800" w:leader="none"/>
          <w:tab w:val="left" w:pos="2280" w:leader="none"/>
        </w:tabs>
        <w:ind w:start="840" w:end="0"/>
        <w:rPr>
          <w:sz w:val="28"/>
        </w:rPr>
      </w:pPr>
      <w:r>
        <w:rPr>
          <w:sz w:val="28"/>
        </w:rPr>
      </w:r>
    </w:p>
    <w:p>
      <w:pPr>
        <w:pStyle w:val="Normal"/>
        <w:tabs>
          <w:tab w:val="clear" w:pos="720"/>
          <w:tab w:val="left" w:pos="840" w:leader="none"/>
          <w:tab w:val="left" w:pos="1200" w:leader="none"/>
          <w:tab w:val="left" w:pos="1800" w:leader="none"/>
          <w:tab w:val="left" w:pos="2280" w:leader="none"/>
        </w:tabs>
        <w:ind w:start="840" w:end="0"/>
        <w:rPr>
          <w:sz w:val="28"/>
        </w:rPr>
      </w:pPr>
      <w:r>
        <w:rPr>
          <w:sz w:val="28"/>
        </w:rPr>
        <w:t>-</w:t>
        <w:tab/>
        <w:t>This amount of wind capacity would annually power approximately 390,500 American households,</w:t>
      </w:r>
    </w:p>
    <w:p>
      <w:pPr>
        <w:pStyle w:val="Normal"/>
        <w:tabs>
          <w:tab w:val="clear" w:pos="720"/>
          <w:tab w:val="left" w:pos="840" w:leader="none"/>
          <w:tab w:val="left" w:pos="1200" w:leader="none"/>
          <w:tab w:val="left" w:pos="1800" w:leader="none"/>
          <w:tab w:val="left" w:pos="2280" w:leader="none"/>
        </w:tabs>
        <w:ind w:start="840" w:end="0"/>
        <w:rPr>
          <w:sz w:val="28"/>
        </w:rPr>
      </w:pPr>
      <w:r>
        <w:rPr>
          <w:sz w:val="28"/>
        </w:rPr>
        <w:tab/>
        <w:t>and annually offset more than 3 million tons (6 billion pounds) of carbon dioxide</w:t>
      </w:r>
    </w:p>
    <w:p>
      <w:pPr>
        <w:pStyle w:val="Normal"/>
        <w:tabs>
          <w:tab w:val="clear" w:pos="720"/>
          <w:tab w:val="left" w:pos="840" w:leader="none"/>
          <w:tab w:val="left" w:pos="1200" w:leader="none"/>
          <w:tab w:val="left" w:pos="1800" w:leader="none"/>
          <w:tab w:val="left" w:pos="2280" w:leader="none"/>
        </w:tabs>
        <w:ind w:start="840" w:end="0"/>
        <w:rPr>
          <w:sz w:val="28"/>
        </w:rPr>
      </w:pPr>
      <w:r>
        <w:rPr>
          <w:sz w:val="28"/>
        </w:rPr>
      </w:r>
    </w:p>
    <w:p>
      <w:pPr>
        <w:pStyle w:val="Normal"/>
        <w:tabs>
          <w:tab w:val="clear" w:pos="720"/>
          <w:tab w:val="left" w:pos="840" w:leader="none"/>
          <w:tab w:val="left" w:pos="1200" w:leader="none"/>
          <w:tab w:val="left" w:pos="1800" w:leader="none"/>
          <w:tab w:val="left" w:pos="2280" w:leader="none"/>
        </w:tabs>
        <w:spacing w:lineRule="auto" w:line="360"/>
        <w:ind w:start="840" w:end="0"/>
        <w:rPr>
          <w:sz w:val="28"/>
        </w:rPr>
      </w:pPr>
      <w:r>
        <w:rPr>
          <w:sz w:val="28"/>
        </w:rPr>
        <w:t>-</w:t>
        <w:tab/>
        <w:t>During 2001, Enron Wind will manufacture 450 MW for U.S. markets (___ MW for Europe):</w:t>
      </w:r>
    </w:p>
    <w:p>
      <w:pPr>
        <w:pStyle w:val="Normal"/>
        <w:tabs>
          <w:tab w:val="clear" w:pos="720"/>
          <w:tab w:val="left" w:pos="840" w:leader="none"/>
          <w:tab w:val="left" w:pos="1200" w:leader="none"/>
          <w:tab w:val="left" w:pos="1800" w:leader="none"/>
          <w:tab w:val="left" w:pos="2280" w:leader="none"/>
        </w:tabs>
        <w:spacing w:lineRule="auto" w:line="360"/>
        <w:ind w:start="840" w:end="0"/>
        <w:rPr>
          <w:sz w:val="28"/>
        </w:rPr>
      </w:pPr>
      <w:r>
        <w:rPr>
          <w:sz w:val="28"/>
        </w:rPr>
        <w:t>-</w:t>
        <w:tab/>
        <w:t>Note:  All EWC turbines are operating in California despite payment problems from Edison and PG&amp;E</w:t>
      </w:r>
    </w:p>
    <w:p>
      <w:pPr>
        <w:pStyle w:val="Normal"/>
        <w:tabs>
          <w:tab w:val="clear" w:pos="720"/>
          <w:tab w:val="left" w:pos="840" w:leader="none"/>
          <w:tab w:val="left" w:pos="1200" w:leader="none"/>
          <w:tab w:val="left" w:pos="1800" w:leader="none"/>
          <w:tab w:val="left" w:pos="2280" w:leader="none"/>
        </w:tabs>
        <w:spacing w:lineRule="auto" w:line="360"/>
        <w:ind w:start="840" w:end="0"/>
        <w:rPr>
          <w:sz w:val="28"/>
        </w:rPr>
      </w:pPr>
      <w:r>
        <w:rPr>
          <w:sz w:val="28"/>
        </w:rPr>
        <w:tab/>
        <w:tab/>
        <w:t xml:space="preserve"> </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The Challenge of Climate Policy</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rPr>
          <w:b/>
          <w:bCs/>
          <w:sz w:val="32"/>
        </w:rPr>
      </w:pPr>
      <w:r>
        <w:rPr>
          <w:b/>
          <w:bCs/>
          <w:sz w:val="32"/>
        </w:rPr>
      </w:r>
    </w:p>
    <w:p>
      <w:pPr>
        <w:pStyle w:val="Normal"/>
        <w:numPr>
          <w:ilvl w:val="0"/>
          <w:numId w:val="19"/>
        </w:numPr>
        <w:tabs>
          <w:tab w:val="clear" w:pos="720"/>
          <w:tab w:val="left" w:pos="840" w:leader="none"/>
          <w:tab w:val="left" w:pos="1200" w:leader="none"/>
          <w:tab w:val="left" w:pos="1800" w:leader="none"/>
          <w:tab w:val="left" w:pos="2280" w:leader="none"/>
        </w:tabs>
        <w:rPr>
          <w:sz w:val="28"/>
        </w:rPr>
      </w:pPr>
      <w:r>
        <w:rPr>
          <w:sz w:val="28"/>
        </w:rPr>
        <w:t>Turning to the climate change challenge for energy policy</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9"/>
        </w:numPr>
        <w:tabs>
          <w:tab w:val="clear" w:pos="720"/>
          <w:tab w:val="left" w:pos="840" w:leader="none"/>
          <w:tab w:val="left" w:pos="1200" w:leader="none"/>
          <w:tab w:val="left" w:pos="1800" w:leader="none"/>
          <w:tab w:val="left" w:pos="2280" w:leader="none"/>
        </w:tabs>
        <w:rPr>
          <w:sz w:val="28"/>
        </w:rPr>
      </w:pPr>
      <w:r>
        <w:rPr>
          <w:sz w:val="28"/>
        </w:rPr>
        <w:t xml:space="preserve">Playing off of the conclusion of the Intergovernmental Panel on Climate Change (IPCC) in their 1995 report  </w:t>
      </w:r>
      <w:r>
        <w:rPr>
          <w:b/>
          <w:bCs/>
          <w:sz w:val="28"/>
        </w:rPr>
        <w:t>(read quotation).</w:t>
      </w:r>
      <w:r>
        <w:rPr>
          <w:sz w:val="28"/>
        </w:rPr>
        <w:t xml:space="preserve">* </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19"/>
        </w:numPr>
        <w:tabs>
          <w:tab w:val="clear" w:pos="720"/>
          <w:tab w:val="left" w:pos="840" w:leader="none"/>
          <w:tab w:val="left" w:pos="1200" w:leader="none"/>
          <w:tab w:val="left" w:pos="1800" w:leader="none"/>
          <w:tab w:val="left" w:pos="2280" w:leader="none"/>
        </w:tabs>
        <w:rPr>
          <w:sz w:val="28"/>
        </w:rPr>
      </w:pPr>
      <w:r>
        <w:rPr>
          <w:sz w:val="28"/>
        </w:rPr>
        <w:t xml:space="preserve"> </w:t>
      </w:r>
      <w:r>
        <w:rPr>
          <w:sz w:val="28"/>
        </w:rPr>
        <w:t>The question now on the table is the political one (second quotation)</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ind w:start="4320" w:end="0"/>
        <w:rPr>
          <w:sz w:val="28"/>
        </w:rPr>
      </w:pPr>
      <w:r>
        <w:rPr>
          <w:sz w:val="28"/>
        </w:rPr>
        <w:t xml:space="preserve">*The "attribution statement" in the new (2000) IPCC report is stronger than in the 1995 report:  "Most of the observed warming over the last 50 years is likely to have have been due to the increase in greenhouse gas concentrations."  </w:t>
      </w:r>
    </w:p>
    <w:p>
      <w:pPr>
        <w:pStyle w:val="Normal"/>
        <w:tabs>
          <w:tab w:val="clear" w:pos="720"/>
          <w:tab w:val="left" w:pos="840" w:leader="none"/>
          <w:tab w:val="left" w:pos="1200" w:leader="none"/>
          <w:tab w:val="left" w:pos="1800" w:leader="none"/>
          <w:tab w:val="left" w:pos="2280" w:leader="none"/>
        </w:tabs>
        <w:ind w:start="4320" w:end="0"/>
        <w:rPr>
          <w:sz w:val="28"/>
        </w:rPr>
      </w:pPr>
      <w:r>
        <w:rPr>
          <w:sz w:val="28"/>
        </w:rPr>
        <w:t xml:space="preserve">             </w:t>
      </w:r>
      <w:r>
        <w:rPr>
          <w:sz w:val="28"/>
        </w:rPr>
        <w:t>-IPCC Summary for Policy Makers:  Working Group 1, draft, p. 10.</w:t>
      </w:r>
    </w:p>
    <w:p>
      <w:pPr>
        <w:pStyle w:val="Normal"/>
        <w:tabs>
          <w:tab w:val="clear" w:pos="720"/>
          <w:tab w:val="left" w:pos="840" w:leader="none"/>
          <w:tab w:val="left" w:pos="1200" w:leader="none"/>
          <w:tab w:val="left" w:pos="1800" w:leader="none"/>
          <w:tab w:val="left" w:pos="2280" w:leader="none"/>
        </w:tabs>
        <w:rPr>
          <w:sz w:val="28"/>
        </w:rPr>
      </w:pPr>
      <w:r>
        <w:rPr>
          <w:sz w:val="28"/>
        </w:rPr>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Kyoto Temperature Effect:  Year 2100</w:t>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numPr>
          <w:ilvl w:val="0"/>
          <w:numId w:val="6"/>
        </w:numPr>
        <w:tabs>
          <w:tab w:val="left" w:pos="720" w:leader="none"/>
          <w:tab w:val="left" w:pos="1260" w:leader="none"/>
        </w:tabs>
        <w:rPr>
          <w:sz w:val="26"/>
        </w:rPr>
      </w:pPr>
      <w:r>
        <w:rPr>
          <w:sz w:val="26"/>
        </w:rPr>
        <w:t>A "perfect Kyoto" means that all Kyoto participants (38 countries) agree to reduce their cumulative GHG emissions by 5.2% between 2008-2112 and keep them there subsequently.  (132 developing countries such as Brazil, China, India and Mexico are not committed.)</w:t>
      </w:r>
    </w:p>
    <w:p>
      <w:pPr>
        <w:pStyle w:val="Normal"/>
        <w:tabs>
          <w:tab w:val="left" w:pos="720" w:leader="none"/>
          <w:tab w:val="left" w:pos="1260" w:leader="none"/>
        </w:tabs>
        <w:rPr>
          <w:sz w:val="26"/>
        </w:rPr>
      </w:pPr>
      <w:r>
        <w:rPr>
          <w:sz w:val="26"/>
        </w:rPr>
      </w:r>
    </w:p>
    <w:p>
      <w:pPr>
        <w:pStyle w:val="Normal"/>
        <w:numPr>
          <w:ilvl w:val="0"/>
          <w:numId w:val="7"/>
        </w:numPr>
        <w:tabs>
          <w:tab w:val="left" w:pos="720" w:leader="none"/>
          <w:tab w:val="left" w:pos="1260" w:leader="none"/>
        </w:tabs>
        <w:rPr>
          <w:sz w:val="26"/>
        </w:rPr>
      </w:pPr>
      <w:r>
        <w:rPr>
          <w:sz w:val="26"/>
        </w:rPr>
        <w:t>Such reductions by the developed countries would reduce the forecast GHG warming by approximately 5% by the year 2100 given the anthropogenic warming assumptions of general circulation climate models. *</w:t>
      </w:r>
    </w:p>
    <w:p>
      <w:pPr>
        <w:pStyle w:val="Normal"/>
        <w:tabs>
          <w:tab w:val="left" w:pos="720" w:leader="none"/>
          <w:tab w:val="left" w:pos="1260" w:leader="none"/>
        </w:tabs>
        <w:rPr>
          <w:sz w:val="26"/>
        </w:rPr>
      </w:pPr>
      <w:r>
        <w:rPr>
          <w:sz w:val="26"/>
        </w:rPr>
      </w:r>
    </w:p>
    <w:p>
      <w:pPr>
        <w:pStyle w:val="Normal"/>
        <w:numPr>
          <w:ilvl w:val="0"/>
          <w:numId w:val="32"/>
        </w:numPr>
        <w:tabs>
          <w:tab w:val="left" w:pos="720" w:leader="none"/>
          <w:tab w:val="left" w:pos="1260" w:leader="none"/>
        </w:tabs>
        <w:rPr>
          <w:sz w:val="26"/>
        </w:rPr>
      </w:pPr>
      <w:r>
        <w:rPr>
          <w:sz w:val="26"/>
        </w:rPr>
        <w:t>Furthermore, the impact on climate from Kyoto's 2008-2112 target would be "undetectable for many decades," according to Dr. Thomas Wigley of the National Center for Atmospheric Research and author of a climate-change science study for the Pew Center on Global Climate Change.</w:t>
      </w:r>
    </w:p>
    <w:p>
      <w:pPr>
        <w:pStyle w:val="Normal"/>
        <w:tabs>
          <w:tab w:val="left" w:pos="720" w:leader="none"/>
          <w:tab w:val="left" w:pos="1260" w:leader="none"/>
        </w:tabs>
        <w:rPr>
          <w:sz w:val="26"/>
        </w:rPr>
      </w:pPr>
      <w:r>
        <w:rPr>
          <w:sz w:val="26"/>
        </w:rPr>
      </w:r>
    </w:p>
    <w:p>
      <w:pPr>
        <w:pStyle w:val="Normal"/>
        <w:numPr>
          <w:ilvl w:val="0"/>
          <w:numId w:val="3"/>
        </w:numPr>
        <w:tabs>
          <w:tab w:val="left" w:pos="720" w:leader="none"/>
          <w:tab w:val="left" w:pos="1260" w:leader="none"/>
        </w:tabs>
        <w:rPr>
          <w:sz w:val="26"/>
        </w:rPr>
      </w:pPr>
      <w:r>
        <w:rPr>
          <w:sz w:val="26"/>
        </w:rPr>
        <w:t xml:space="preserve">If the 5.2% reduction applied to </w:t>
      </w:r>
      <w:r>
        <w:rPr>
          <w:sz w:val="26"/>
          <w:u w:val="single"/>
        </w:rPr>
        <w:t>all countries</w:t>
      </w:r>
      <w:r>
        <w:rPr>
          <w:sz w:val="26"/>
        </w:rPr>
        <w:t>--developing and developed--the impact would be 100% greater, or around 10% (.15˚C to .3˚C) of the solution to the alleged problem.  [Wigley to RLB, 11-19-98]</w:t>
      </w:r>
    </w:p>
    <w:p>
      <w:pPr>
        <w:pStyle w:val="Normal"/>
        <w:tabs>
          <w:tab w:val="left" w:pos="720" w:leader="none"/>
          <w:tab w:val="left" w:pos="1260" w:leader="none"/>
        </w:tabs>
        <w:rPr>
          <w:sz w:val="26"/>
        </w:rPr>
      </w:pPr>
      <w:r>
        <w:rPr>
          <w:sz w:val="26"/>
        </w:rPr>
      </w:r>
    </w:p>
    <w:p>
      <w:pPr>
        <w:pStyle w:val="Normal"/>
        <w:numPr>
          <w:ilvl w:val="0"/>
          <w:numId w:val="4"/>
        </w:numPr>
        <w:tabs>
          <w:tab w:val="left" w:pos="720" w:leader="none"/>
          <w:tab w:val="left" w:pos="1260" w:leader="none"/>
        </w:tabs>
        <w:ind w:hanging="432" w:start="432" w:end="-446"/>
        <w:rPr>
          <w:i/>
          <w:i/>
          <w:sz w:val="26"/>
        </w:rPr>
      </w:pPr>
      <w:r>
        <w:rPr>
          <w:iCs/>
          <w:sz w:val="26"/>
        </w:rPr>
        <w:t xml:space="preserve">This means that much more would need to be done to reverse the human influence on climate or </w:t>
      </w:r>
      <w:r>
        <w:rPr>
          <w:iCs/>
          <w:sz w:val="26"/>
          <w:u w:val="single"/>
        </w:rPr>
        <w:t>adaptation</w:t>
      </w:r>
      <w:r>
        <w:rPr>
          <w:iCs/>
          <w:sz w:val="26"/>
        </w:rPr>
        <w:t xml:space="preserve"> will be necessary.</w:t>
      </w:r>
    </w:p>
    <w:p>
      <w:pPr>
        <w:pStyle w:val="Normal"/>
        <w:tabs>
          <w:tab w:val="left" w:pos="720" w:leader="none"/>
          <w:tab w:val="left" w:pos="1260" w:leader="none"/>
        </w:tabs>
        <w:ind w:end="-446"/>
        <w:rPr>
          <w:i/>
          <w:i/>
          <w:iCs/>
          <w:sz w:val="26"/>
        </w:rPr>
      </w:pPr>
      <w:r>
        <w:rPr>
          <w:i/>
          <w:iCs/>
          <w:sz w:val="26"/>
        </w:rPr>
      </w:r>
    </w:p>
    <w:p>
      <w:pPr>
        <w:pStyle w:val="Normal"/>
        <w:tabs>
          <w:tab w:val="left" w:pos="720" w:leader="none"/>
          <w:tab w:val="left" w:pos="1260" w:leader="none"/>
        </w:tabs>
        <w:ind w:end="-446"/>
        <w:rPr>
          <w:iCs/>
          <w:sz w:val="28"/>
        </w:rPr>
      </w:pPr>
      <w:r>
        <w:rPr>
          <w:iCs/>
          <w:sz w:val="28"/>
        </w:rPr>
      </w:r>
    </w:p>
    <w:p>
      <w:pPr>
        <w:pStyle w:val="Normal"/>
        <w:tabs>
          <w:tab w:val="left" w:pos="720" w:leader="none"/>
          <w:tab w:val="left" w:pos="1260" w:leader="none"/>
        </w:tabs>
        <w:ind w:start="5760" w:end="-446"/>
        <w:rPr>
          <w:i/>
          <w:i/>
        </w:rPr>
      </w:pPr>
      <w:r>
        <w:rPr>
          <w:i/>
        </w:rPr>
        <w:t>"The limited impact of Kyoto on greenhouse gas concentrations is understood by the analytic people in the environmental organizations but, they support Kyoto anyway, believing it to be 'the nose under the tent' and' the only game in town'."</w:t>
      </w:r>
    </w:p>
    <w:p>
      <w:pPr>
        <w:pStyle w:val="Normal"/>
        <w:tabs>
          <w:tab w:val="left" w:pos="720" w:leader="none"/>
          <w:tab w:val="left" w:pos="1260" w:leader="none"/>
        </w:tabs>
        <w:ind w:start="5760" w:end="-446"/>
        <w:rPr/>
      </w:pPr>
      <w:r>
        <w:rPr>
          <w:i/>
        </w:rPr>
        <w:tab/>
        <w:tab/>
        <w:t xml:space="preserve">      </w:t>
      </w:r>
      <w:r>
        <w:rPr>
          <w:iCs/>
        </w:rPr>
        <w:t>-Letter from Paul O'Neill to George W. Bush, Feb 27, 2001</w:t>
      </w:r>
    </w:p>
    <w:p>
      <w:pPr>
        <w:pStyle w:val="Normal"/>
        <w:tabs>
          <w:tab w:val="left" w:pos="720" w:leader="none"/>
          <w:tab w:val="left" w:pos="1260" w:leader="none"/>
        </w:tabs>
        <w:ind w:end="-446"/>
        <w:rPr>
          <w:iCs/>
        </w:rPr>
      </w:pPr>
      <w:r>
        <w:rPr>
          <w:iCs/>
        </w:rPr>
      </w:r>
    </w:p>
    <w:p>
      <w:pPr>
        <w:pStyle w:val="Normal"/>
        <w:tabs>
          <w:tab w:val="left" w:pos="720" w:leader="none"/>
          <w:tab w:val="left" w:pos="1260" w:leader="none"/>
        </w:tabs>
        <w:ind w:end="-446"/>
        <w:rPr/>
      </w:pPr>
      <w:r>
        <w:rPr>
          <w:sz w:val="28"/>
        </w:rPr>
        <w:t>*</w:t>
      </w:r>
      <w:r>
        <w:rPr/>
        <w:t>Base IPCC warming case for 2x is 2.5˚C.  The other cases are the range</w:t>
      </w:r>
      <w:r>
        <w:rPr>
          <w:i/>
        </w:rPr>
        <w:t xml:space="preserve">.  </w:t>
      </w:r>
      <w:r>
        <w:rPr>
          <w:iCs/>
        </w:rPr>
        <w:t>The 2000 IPCC report has a wider range, the average of                            which is 2.2ºC.</w:t>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Predicted Global Temperature Change</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 w:val="left" w:pos="8760" w:leader="none"/>
          <w:tab w:val="left" w:pos="9000" w:leader="none"/>
        </w:tabs>
        <w:jc w:val="center"/>
        <w:rPr>
          <w:b/>
          <w:bCs/>
          <w:sz w:val="32"/>
        </w:rPr>
      </w:pPr>
      <w:r>
        <w:rPr>
          <w:b/>
          <w:bCs/>
          <w:sz w:val="32"/>
        </w:rPr>
      </w:r>
    </w:p>
    <w:p>
      <w:pPr>
        <w:pStyle w:val="Normal"/>
        <w:numPr>
          <w:ilvl w:val="0"/>
          <w:numId w:val="20"/>
        </w:numPr>
        <w:tabs>
          <w:tab w:val="clear" w:pos="720"/>
          <w:tab w:val="left" w:pos="840" w:leader="none"/>
          <w:tab w:val="left" w:pos="1200" w:leader="none"/>
          <w:tab w:val="left" w:pos="1800" w:leader="none"/>
          <w:tab w:val="left" w:pos="2280" w:leader="none"/>
        </w:tabs>
        <w:rPr>
          <w:sz w:val="28"/>
        </w:rPr>
      </w:pPr>
      <w:r>
        <w:rPr>
          <w:sz w:val="28"/>
        </w:rPr>
        <w:t>The challenge of stabilizing greenhouse gas concentrations in the atmosphere is shown by the timeline showing the global surface temperature effect of full compliance with the Kyoto Protocol (5% below 1990 levels for the 38 developed on "Annex A" countries)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0"/>
        </w:numPr>
        <w:tabs>
          <w:tab w:val="clear" w:pos="720"/>
          <w:tab w:val="left" w:pos="840" w:leader="none"/>
          <w:tab w:val="left" w:pos="1200" w:leader="none"/>
          <w:tab w:val="left" w:pos="1800" w:leader="none"/>
          <w:tab w:val="left" w:pos="2280" w:leader="none"/>
        </w:tabs>
        <w:rPr>
          <w:sz w:val="28"/>
        </w:rPr>
      </w:pPr>
      <w:r>
        <w:rPr>
          <w:sz w:val="28"/>
        </w:rPr>
        <w:t>Perfect compliance of the Annex A countries reverses about 5% of the human influence on climate [adding Annex B would double this]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20"/>
        </w:numPr>
        <w:tabs>
          <w:tab w:val="clear" w:pos="720"/>
          <w:tab w:val="left" w:pos="840" w:leader="none"/>
          <w:tab w:val="left" w:pos="1200" w:leader="none"/>
          <w:tab w:val="left" w:pos="1800" w:leader="none"/>
          <w:tab w:val="left" w:pos="2280" w:leader="none"/>
        </w:tabs>
        <w:rPr>
          <w:sz w:val="28"/>
        </w:rPr>
      </w:pPr>
      <w:r>
        <w:rPr>
          <w:sz w:val="28"/>
        </w:rPr>
        <w:t>Yet politically (and economically) the Kyoto targets, seen by its supporters as a "first step" to be followed by more stringent cutbacks in future budget periods, are not realistic for most countries.</w:t>
      </w:r>
    </w:p>
    <w:p>
      <w:pPr>
        <w:pStyle w:val="Normal"/>
        <w:tabs>
          <w:tab w:val="clear" w:pos="720"/>
          <w:tab w:val="left" w:pos="840" w:leader="none"/>
          <w:tab w:val="left" w:pos="1200" w:leader="none"/>
          <w:tab w:val="left" w:pos="1800" w:leader="none"/>
          <w:tab w:val="left" w:pos="2280" w:leader="none"/>
        </w:tabs>
        <w:rPr>
          <w:b/>
          <w:bCs/>
          <w:sz w:val="32"/>
        </w:rPr>
      </w:pPr>
      <w:r>
        <w:rPr>
          <w:b/>
          <w:bCs/>
          <w:sz w:val="32"/>
        </w:rPr>
      </w:r>
    </w:p>
    <w:tbl>
      <w:tblPr>
        <w:tblW w:w="12480" w:type="dxa"/>
        <w:jc w:val="start"/>
        <w:tblInd w:w="828" w:type="dxa"/>
        <w:tblLayout w:type="fixed"/>
        <w:tblCellMar>
          <w:top w:w="0" w:type="dxa"/>
          <w:start w:w="108" w:type="dxa"/>
          <w:bottom w:w="0" w:type="dxa"/>
          <w:end w:w="108" w:type="dxa"/>
        </w:tblCellMar>
      </w:tblPr>
      <w:tblGrid>
        <w:gridCol w:w="2280"/>
        <w:gridCol w:w="1288"/>
        <w:gridCol w:w="1112"/>
        <w:gridCol w:w="1200"/>
        <w:gridCol w:w="960"/>
        <w:gridCol w:w="1200"/>
        <w:gridCol w:w="1080"/>
        <w:gridCol w:w="1320"/>
        <w:gridCol w:w="960"/>
        <w:gridCol w:w="1080"/>
      </w:tblGrid>
      <w:tr>
        <w:trPr/>
        <w:tc>
          <w:tcPr>
            <w:tcW w:w="2280" w:type="dxa"/>
            <w:tcBorders>
              <w:top w:val="single" w:sz="4" w:space="0" w:color="000000"/>
              <w:start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napToGrid w:val="false"/>
              <w:rPr>
                <w:sz w:val="26"/>
              </w:rPr>
            </w:pPr>
            <w:r>
              <w:rPr>
                <w:sz w:val="26"/>
              </w:rPr>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jc w:val="center"/>
              <w:rPr/>
            </w:pPr>
            <w:r>
              <w:rPr/>
              <w:t>1990</w:t>
            </w:r>
          </w:p>
        </w:tc>
        <w:tc>
          <w:tcPr>
            <w:tcW w:w="2312" w:type="dxa"/>
            <w:gridSpan w:val="2"/>
            <w:tcBorders>
              <w:top w:val="single" w:sz="4" w:space="0" w:color="000000"/>
              <w:start w:val="single" w:sz="18"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jc w:val="center"/>
              <w:rPr/>
            </w:pPr>
            <w:r>
              <w:rPr/>
              <w:t>1999A</w:t>
            </w:r>
          </w:p>
        </w:tc>
        <w:tc>
          <w:tcPr>
            <w:tcW w:w="2160" w:type="dxa"/>
            <w:gridSpan w:val="2"/>
            <w:tcBorders>
              <w:top w:val="single" w:sz="4" w:space="0" w:color="000000"/>
              <w:start w:val="single" w:sz="18"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jc w:val="center"/>
              <w:rPr/>
            </w:pPr>
            <w:r>
              <w:rPr/>
              <w:t>2010E</w:t>
            </w:r>
          </w:p>
        </w:tc>
        <w:tc>
          <w:tcPr>
            <w:tcW w:w="2400" w:type="dxa"/>
            <w:gridSpan w:val="2"/>
            <w:tcBorders>
              <w:top w:val="single" w:sz="4" w:space="0" w:color="000000"/>
              <w:start w:val="single" w:sz="18" w:space="0" w:color="000000"/>
              <w:bottom w:val="single" w:sz="4" w:space="0" w:color="000000"/>
              <w:end w:val="single" w:sz="4" w:space="0" w:color="000000"/>
            </w:tcBorders>
          </w:tcPr>
          <w:p>
            <w:pPr>
              <w:pStyle w:val="Normal"/>
              <w:tabs>
                <w:tab w:val="clear" w:pos="720"/>
                <w:tab w:val="left" w:pos="840" w:leader="none"/>
                <w:tab w:val="left" w:pos="1200" w:leader="none"/>
                <w:tab w:val="left" w:pos="1800" w:leader="none"/>
                <w:tab w:val="left" w:pos="2280" w:leader="none"/>
              </w:tabs>
              <w:jc w:val="center"/>
              <w:rPr/>
            </w:pPr>
            <w:r>
              <w:rPr/>
              <w:t>2020E</w:t>
            </w:r>
          </w:p>
        </w:tc>
        <w:tc>
          <w:tcPr>
            <w:tcW w:w="204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840" w:leader="none"/>
                <w:tab w:val="left" w:pos="1200" w:leader="none"/>
                <w:tab w:val="left" w:pos="1800" w:leader="none"/>
                <w:tab w:val="left" w:pos="2280" w:leader="none"/>
              </w:tabs>
              <w:jc w:val="center"/>
              <w:rPr/>
            </w:pPr>
            <w:r>
              <w:rPr/>
              <w:t>CAGR</w:t>
            </w:r>
          </w:p>
        </w:tc>
      </w:tr>
      <w:tr>
        <w:trPr/>
        <w:tc>
          <w:tcPr>
            <w:tcW w:w="2280" w:type="dxa"/>
            <w:tcBorders>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napToGrid w:val="false"/>
              <w:rPr>
                <w:sz w:val="26"/>
              </w:rPr>
            </w:pPr>
            <w:r>
              <w:rPr>
                <w:sz w:val="26"/>
              </w:rPr>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napToGrid w:val="false"/>
              <w:rPr>
                <w:sz w:val="26"/>
              </w:rPr>
            </w:pPr>
            <w:r>
              <w:rPr>
                <w:sz w:val="26"/>
              </w:rPr>
            </w:r>
          </w:p>
          <w:p>
            <w:pPr>
              <w:pStyle w:val="Normal"/>
              <w:tabs>
                <w:tab w:val="clear" w:pos="720"/>
                <w:tab w:val="left" w:pos="840" w:leader="none"/>
                <w:tab w:val="left" w:pos="1200" w:leader="none"/>
                <w:tab w:val="left" w:pos="1800" w:leader="none"/>
                <w:tab w:val="left" w:pos="2280" w:leader="none"/>
              </w:tabs>
              <w:rPr/>
            </w:pPr>
            <w:r>
              <w:rPr/>
              <w:t>Baseline</w:t>
            </w:r>
          </w:p>
        </w:tc>
        <w:tc>
          <w:tcPr>
            <w:tcW w:w="1112" w:type="dxa"/>
            <w:tcBorders>
              <w:top w:val="single" w:sz="4" w:space="0" w:color="000000"/>
              <w:start w:val="single" w:sz="18" w:space="0" w:color="000000"/>
              <w:bottom w:val="single" w:sz="4" w:space="0" w:color="000000"/>
              <w:end w:val="single" w:sz="4" w:space="0" w:color="000000"/>
            </w:tcBorders>
          </w:tcPr>
          <w:p>
            <w:pPr>
              <w:pStyle w:val="Normal"/>
              <w:tabs>
                <w:tab w:val="clear" w:pos="720"/>
                <w:tab w:val="left" w:pos="840" w:leader="none"/>
                <w:tab w:val="left" w:pos="1200" w:leader="none"/>
                <w:tab w:val="left" w:pos="1800" w:leader="none"/>
                <w:tab w:val="left" w:pos="2280" w:leader="none"/>
              </w:tabs>
              <w:snapToGrid w:val="false"/>
              <w:rPr/>
            </w:pPr>
            <w:r>
              <w:rPr/>
            </w:r>
          </w:p>
          <w:p>
            <w:pPr>
              <w:pStyle w:val="Normal"/>
              <w:tabs>
                <w:tab w:val="clear" w:pos="720"/>
                <w:tab w:val="left" w:pos="840" w:leader="none"/>
                <w:tab w:val="left" w:pos="1200" w:leader="none"/>
                <w:tab w:val="left" w:pos="1800" w:leader="none"/>
                <w:tab w:val="left" w:pos="2280" w:leader="none"/>
              </w:tabs>
              <w:rPr/>
            </w:pPr>
            <w:r>
              <w:rPr/>
              <w:t>Total</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napToGrid w:val="false"/>
              <w:rPr/>
            </w:pPr>
            <w:r>
              <w:rPr/>
            </w:r>
          </w:p>
          <w:p>
            <w:pPr>
              <w:pStyle w:val="Normal"/>
              <w:tabs>
                <w:tab w:val="clear" w:pos="720"/>
                <w:tab w:val="left" w:pos="840" w:leader="none"/>
                <w:tab w:val="left" w:pos="1200" w:leader="none"/>
                <w:tab w:val="left" w:pos="1800" w:leader="none"/>
                <w:tab w:val="left" w:pos="2280" w:leader="none"/>
              </w:tabs>
              <w:rPr/>
            </w:pPr>
            <w:r>
              <w:rPr/>
              <w:t>Cumm. %</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left" w:pos="840" w:leader="none"/>
                <w:tab w:val="left" w:pos="1200" w:leader="none"/>
                <w:tab w:val="left" w:pos="1800" w:leader="none"/>
                <w:tab w:val="left" w:pos="2280" w:leader="none"/>
              </w:tabs>
              <w:snapToGrid w:val="false"/>
              <w:rPr/>
            </w:pPr>
            <w:r>
              <w:rPr/>
            </w:r>
          </w:p>
          <w:p>
            <w:pPr>
              <w:pStyle w:val="Normal"/>
              <w:tabs>
                <w:tab w:val="clear" w:pos="720"/>
                <w:tab w:val="left" w:pos="840" w:leader="none"/>
                <w:tab w:val="left" w:pos="1200" w:leader="none"/>
                <w:tab w:val="left" w:pos="1800" w:leader="none"/>
                <w:tab w:val="left" w:pos="2280" w:leader="none"/>
              </w:tabs>
              <w:rPr/>
            </w:pPr>
            <w:r>
              <w:rPr/>
              <w:t>Total</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napToGrid w:val="false"/>
              <w:rPr/>
            </w:pPr>
            <w:r>
              <w:rPr/>
            </w:r>
          </w:p>
          <w:p>
            <w:pPr>
              <w:pStyle w:val="Normal"/>
              <w:tabs>
                <w:tab w:val="clear" w:pos="720"/>
                <w:tab w:val="left" w:pos="840" w:leader="none"/>
                <w:tab w:val="left" w:pos="1200" w:leader="none"/>
                <w:tab w:val="left" w:pos="1800" w:leader="none"/>
                <w:tab w:val="left" w:pos="2280" w:leader="none"/>
              </w:tabs>
              <w:rPr/>
            </w:pPr>
            <w:r>
              <w:rPr/>
              <w:t>Cumm. %</w:t>
            </w:r>
          </w:p>
        </w:tc>
        <w:tc>
          <w:tcPr>
            <w:tcW w:w="1080" w:type="dxa"/>
            <w:tcBorders>
              <w:top w:val="single" w:sz="4" w:space="0" w:color="000000"/>
              <w:start w:val="single" w:sz="18" w:space="0" w:color="000000"/>
              <w:bottom w:val="single" w:sz="4" w:space="0" w:color="000000"/>
              <w:end w:val="single" w:sz="4" w:space="0" w:color="000000"/>
            </w:tcBorders>
          </w:tcPr>
          <w:p>
            <w:pPr>
              <w:pStyle w:val="Normal"/>
              <w:tabs>
                <w:tab w:val="clear" w:pos="720"/>
                <w:tab w:val="left" w:pos="840" w:leader="none"/>
                <w:tab w:val="left" w:pos="1200" w:leader="none"/>
                <w:tab w:val="left" w:pos="1800" w:leader="none"/>
                <w:tab w:val="left" w:pos="2280" w:leader="none"/>
              </w:tabs>
              <w:snapToGrid w:val="false"/>
              <w:jc w:val="center"/>
              <w:rPr/>
            </w:pPr>
            <w:r>
              <w:rPr/>
            </w:r>
          </w:p>
          <w:p>
            <w:pPr>
              <w:pStyle w:val="Normal"/>
              <w:tabs>
                <w:tab w:val="clear" w:pos="720"/>
                <w:tab w:val="left" w:pos="840" w:leader="none"/>
                <w:tab w:val="left" w:pos="1200" w:leader="none"/>
                <w:tab w:val="left" w:pos="1800" w:leader="none"/>
                <w:tab w:val="left" w:pos="2280" w:leader="none"/>
              </w:tabs>
              <w:jc w:val="center"/>
              <w:rPr/>
            </w:pPr>
            <w:r>
              <w:rPr/>
              <w:t>Total</w:t>
            </w:r>
          </w:p>
        </w:tc>
        <w:tc>
          <w:tcPr>
            <w:tcW w:w="132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napToGrid w:val="false"/>
              <w:jc w:val="center"/>
              <w:rPr/>
            </w:pPr>
            <w:r>
              <w:rPr/>
            </w:r>
          </w:p>
          <w:p>
            <w:pPr>
              <w:pStyle w:val="Normal"/>
              <w:tabs>
                <w:tab w:val="clear" w:pos="720"/>
                <w:tab w:val="left" w:pos="840" w:leader="none"/>
                <w:tab w:val="left" w:pos="1200" w:leader="none"/>
                <w:tab w:val="left" w:pos="1800" w:leader="none"/>
                <w:tab w:val="left" w:pos="2280" w:leader="none"/>
              </w:tabs>
              <w:jc w:val="center"/>
              <w:rPr/>
            </w:pPr>
            <w:r>
              <w:rPr/>
              <w:t>Cumm. %</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left" w:pos="840" w:leader="none"/>
                <w:tab w:val="left" w:pos="1200" w:leader="none"/>
                <w:tab w:val="left" w:pos="1800" w:leader="none"/>
                <w:tab w:val="left" w:pos="2280" w:leader="none"/>
              </w:tabs>
              <w:rPr/>
            </w:pPr>
            <w:r>
              <w:rPr/>
              <w:t>1990-</w:t>
            </w:r>
          </w:p>
          <w:p>
            <w:pPr>
              <w:pStyle w:val="Normal"/>
              <w:tabs>
                <w:tab w:val="clear" w:pos="720"/>
                <w:tab w:val="left" w:pos="840" w:leader="none"/>
                <w:tab w:val="left" w:pos="1200" w:leader="none"/>
                <w:tab w:val="left" w:pos="1800" w:leader="none"/>
                <w:tab w:val="left" w:pos="2280" w:leader="none"/>
              </w:tabs>
              <w:rPr/>
            </w:pPr>
            <w:r>
              <w:rPr/>
              <w:t>2000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40" w:leader="none"/>
                <w:tab w:val="left" w:pos="1200" w:leader="none"/>
                <w:tab w:val="left" w:pos="1800" w:leader="none"/>
                <w:tab w:val="left" w:pos="2280" w:leader="none"/>
              </w:tabs>
              <w:rPr/>
            </w:pPr>
            <w:r>
              <w:rPr/>
              <w:t>1999-2000</w:t>
            </w:r>
          </w:p>
        </w:tc>
      </w:tr>
      <w:tr>
        <w:trPr/>
        <w:tc>
          <w:tcPr>
            <w:tcW w:w="228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pacing w:lineRule="exact" w:line="380"/>
              <w:rPr>
                <w:sz w:val="26"/>
              </w:rPr>
            </w:pPr>
            <w:r>
              <w:rPr>
                <w:sz w:val="26"/>
              </w:rPr>
              <w:t>North America</w:t>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1,556</w:t>
            </w:r>
          </w:p>
        </w:tc>
        <w:tc>
          <w:tcPr>
            <w:tcW w:w="1112"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524" w:leader="none"/>
                <w:tab w:val="left" w:pos="840" w:leader="none"/>
                <w:tab w:val="left" w:pos="1200" w:leader="none"/>
                <w:tab w:val="left" w:pos="1800" w:leader="none"/>
                <w:tab w:val="left" w:pos="2280" w:leader="none"/>
              </w:tabs>
              <w:spacing w:lineRule="exact" w:line="380"/>
              <w:rPr>
                <w:sz w:val="26"/>
              </w:rPr>
            </w:pPr>
            <w:r>
              <w:rPr>
                <w:sz w:val="26"/>
              </w:rPr>
              <w:tab/>
              <w:t>1,761</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 xml:space="preserve"> 13%</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sz w:val="26"/>
              </w:rPr>
            </w:pPr>
            <w:r>
              <w:rPr>
                <w:sz w:val="26"/>
              </w:rPr>
              <w:t>2,119</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36%</w:t>
            </w:r>
          </w:p>
        </w:tc>
        <w:tc>
          <w:tcPr>
            <w:tcW w:w="108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2,423</w:t>
            </w:r>
          </w:p>
        </w:tc>
        <w:tc>
          <w:tcPr>
            <w:tcW w:w="132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1200" w:leader="none"/>
                <w:tab w:val="left" w:pos="1800" w:leader="none"/>
                <w:tab w:val="left" w:pos="2280" w:leader="none"/>
              </w:tabs>
              <w:spacing w:lineRule="exact" w:line="380"/>
              <w:rPr>
                <w:sz w:val="26"/>
              </w:rPr>
            </w:pPr>
            <w:r>
              <w:rPr>
                <w:sz w:val="26"/>
              </w:rPr>
              <w:tab/>
              <w:t>56%</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492" w:leader="none"/>
                <w:tab w:val="left" w:pos="840" w:leader="none"/>
                <w:tab w:val="left" w:pos="1200" w:leader="none"/>
                <w:tab w:val="left" w:pos="1800" w:leader="none"/>
                <w:tab w:val="left" w:pos="2280" w:leader="none"/>
              </w:tabs>
              <w:spacing w:lineRule="exact" w:line="380"/>
              <w:rPr>
                <w:sz w:val="26"/>
              </w:rPr>
            </w:pPr>
            <w:r>
              <w:rPr>
                <w:sz w:val="26"/>
              </w:rPr>
              <w:tab/>
              <w:t>1.5%</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612" w:leader="none"/>
                <w:tab w:val="left" w:pos="840" w:leader="none"/>
                <w:tab w:val="right" w:pos="1092" w:leader="none"/>
                <w:tab w:val="left" w:pos="1200" w:leader="none"/>
                <w:tab w:val="left" w:pos="1800" w:leader="none"/>
                <w:tab w:val="left" w:pos="2280" w:leader="none"/>
              </w:tabs>
              <w:spacing w:lineRule="exact" w:line="360"/>
              <w:rPr>
                <w:sz w:val="26"/>
              </w:rPr>
            </w:pPr>
            <w:r>
              <w:rPr>
                <w:sz w:val="26"/>
              </w:rPr>
              <w:tab/>
              <w:t>1.5%</w:t>
            </w:r>
          </w:p>
        </w:tc>
      </w:tr>
      <w:tr>
        <w:trPr/>
        <w:tc>
          <w:tcPr>
            <w:tcW w:w="228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pacing w:lineRule="exact" w:line="380"/>
              <w:rPr>
                <w:sz w:val="26"/>
              </w:rPr>
            </w:pPr>
            <w:r>
              <w:rPr>
                <w:sz w:val="26"/>
              </w:rPr>
              <w:t>Western Europe</w:t>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930</w:t>
            </w:r>
          </w:p>
        </w:tc>
        <w:tc>
          <w:tcPr>
            <w:tcW w:w="1112"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524" w:leader="none"/>
                <w:tab w:val="left" w:pos="840" w:leader="none"/>
                <w:tab w:val="left" w:pos="1200" w:leader="none"/>
                <w:tab w:val="left" w:pos="1800" w:leader="none"/>
                <w:tab w:val="left" w:pos="2280" w:leader="none"/>
              </w:tabs>
              <w:spacing w:lineRule="exact" w:line="380"/>
              <w:rPr>
                <w:sz w:val="26"/>
              </w:rPr>
            </w:pPr>
            <w:r>
              <w:rPr>
                <w:sz w:val="26"/>
              </w:rPr>
              <w:tab/>
              <w:t>940</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sz w:val="26"/>
              </w:rPr>
            </w:pPr>
            <w:r>
              <w:rPr>
                <w:sz w:val="26"/>
              </w:rPr>
              <w:t>1,040</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12%</w:t>
            </w:r>
          </w:p>
        </w:tc>
        <w:tc>
          <w:tcPr>
            <w:tcW w:w="108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1,123</w:t>
            </w:r>
          </w:p>
        </w:tc>
        <w:tc>
          <w:tcPr>
            <w:tcW w:w="132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1200" w:leader="none"/>
                <w:tab w:val="left" w:pos="1800" w:leader="none"/>
                <w:tab w:val="left" w:pos="2280" w:leader="none"/>
              </w:tabs>
              <w:spacing w:lineRule="exact" w:line="380"/>
              <w:rPr>
                <w:sz w:val="26"/>
              </w:rPr>
            </w:pPr>
            <w:r>
              <w:rPr>
                <w:sz w:val="26"/>
              </w:rPr>
              <w:tab/>
              <w:t>21%</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492" w:leader="none"/>
                <w:tab w:val="left" w:pos="840" w:leader="none"/>
                <w:tab w:val="left" w:pos="1200" w:leader="none"/>
                <w:tab w:val="left" w:pos="1800" w:leader="none"/>
                <w:tab w:val="left" w:pos="2280" w:leader="none"/>
              </w:tabs>
              <w:spacing w:lineRule="exact" w:line="380"/>
              <w:rPr>
                <w:sz w:val="26"/>
              </w:rPr>
            </w:pPr>
            <w:r>
              <w:rPr>
                <w:sz w:val="26"/>
              </w:rPr>
              <w:tab/>
              <w:t>0.6%</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60"/>
              <w:rPr>
                <w:sz w:val="26"/>
              </w:rPr>
            </w:pPr>
            <w:r>
              <w:rPr>
                <w:sz w:val="26"/>
              </w:rPr>
              <w:tab/>
              <w:t>0.9%</w:t>
            </w:r>
          </w:p>
        </w:tc>
      </w:tr>
      <w:tr>
        <w:trPr/>
        <w:tc>
          <w:tcPr>
            <w:tcW w:w="228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pacing w:lineRule="exact" w:line="380"/>
              <w:rPr>
                <w:sz w:val="26"/>
              </w:rPr>
            </w:pPr>
            <w:r>
              <w:rPr>
                <w:sz w:val="26"/>
              </w:rPr>
              <w:t>Industrialized Asia</w:t>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357</w:t>
            </w:r>
          </w:p>
        </w:tc>
        <w:tc>
          <w:tcPr>
            <w:tcW w:w="1112"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524" w:leader="none"/>
                <w:tab w:val="left" w:pos="840" w:leader="none"/>
                <w:tab w:val="left" w:pos="1200" w:leader="none"/>
                <w:tab w:val="left" w:pos="1800" w:leader="none"/>
                <w:tab w:val="left" w:pos="2280" w:leader="none"/>
              </w:tabs>
              <w:spacing w:lineRule="exact" w:line="380"/>
              <w:rPr>
                <w:sz w:val="26"/>
              </w:rPr>
            </w:pPr>
            <w:r>
              <w:rPr>
                <w:sz w:val="26"/>
              </w:rPr>
              <w:tab/>
              <w:t>422</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18%</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sz w:val="26"/>
              </w:rPr>
            </w:pPr>
            <w:r>
              <w:rPr>
                <w:sz w:val="26"/>
              </w:rPr>
              <w:tab/>
              <w:t>461</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29%</w:t>
            </w:r>
          </w:p>
        </w:tc>
        <w:tc>
          <w:tcPr>
            <w:tcW w:w="108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497</w:t>
            </w:r>
          </w:p>
        </w:tc>
        <w:tc>
          <w:tcPr>
            <w:tcW w:w="132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1200" w:leader="none"/>
                <w:tab w:val="left" w:pos="1800" w:leader="none"/>
                <w:tab w:val="left" w:pos="2280" w:leader="none"/>
              </w:tabs>
              <w:spacing w:lineRule="exact" w:line="380"/>
              <w:rPr>
                <w:sz w:val="26"/>
              </w:rPr>
            </w:pPr>
            <w:r>
              <w:rPr>
                <w:sz w:val="26"/>
              </w:rPr>
              <w:tab/>
              <w:t>39%</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492" w:leader="none"/>
                <w:tab w:val="left" w:pos="840" w:leader="none"/>
                <w:tab w:val="left" w:pos="1200" w:leader="none"/>
                <w:tab w:val="left" w:pos="1800" w:leader="none"/>
                <w:tab w:val="left" w:pos="2280" w:leader="none"/>
              </w:tabs>
              <w:spacing w:lineRule="exact" w:line="380"/>
              <w:rPr>
                <w:sz w:val="26"/>
              </w:rPr>
            </w:pPr>
            <w:r>
              <w:rPr>
                <w:sz w:val="26"/>
              </w:rPr>
              <w:tab/>
              <w:t>1.1%</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60"/>
              <w:rPr>
                <w:sz w:val="26"/>
              </w:rPr>
            </w:pPr>
            <w:r>
              <w:rPr>
                <w:sz w:val="26"/>
              </w:rPr>
              <w:tab/>
              <w:t>0.8%</w:t>
            </w:r>
          </w:p>
        </w:tc>
      </w:tr>
      <w:tr>
        <w:trPr/>
        <w:tc>
          <w:tcPr>
            <w:tcW w:w="228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pacing w:lineRule="exact" w:line="380"/>
              <w:rPr>
                <w:sz w:val="26"/>
              </w:rPr>
            </w:pPr>
            <w:r>
              <w:rPr>
                <w:sz w:val="26"/>
              </w:rPr>
              <w:t>EE/FSU</w:t>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1,337</w:t>
            </w:r>
          </w:p>
        </w:tc>
        <w:tc>
          <w:tcPr>
            <w:tcW w:w="1112"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524" w:leader="none"/>
                <w:tab w:val="left" w:pos="840" w:leader="none"/>
                <w:tab w:val="left" w:pos="1200" w:leader="none"/>
                <w:tab w:val="left" w:pos="1800" w:leader="none"/>
                <w:tab w:val="left" w:pos="2280" w:leader="none"/>
              </w:tabs>
              <w:spacing w:lineRule="exact" w:line="380"/>
              <w:rPr>
                <w:sz w:val="26"/>
              </w:rPr>
            </w:pPr>
            <w:r>
              <w:rPr>
                <w:sz w:val="26"/>
              </w:rPr>
              <w:tab/>
              <w:t>810</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-39%</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sz w:val="26"/>
              </w:rPr>
            </w:pPr>
            <w:r>
              <w:rPr>
                <w:sz w:val="26"/>
              </w:rPr>
              <w:tab/>
              <w:t>940</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-30%</w:t>
            </w:r>
          </w:p>
        </w:tc>
        <w:tc>
          <w:tcPr>
            <w:tcW w:w="108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1,094</w:t>
            </w:r>
          </w:p>
        </w:tc>
        <w:tc>
          <w:tcPr>
            <w:tcW w:w="132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1200" w:leader="none"/>
                <w:tab w:val="left" w:pos="1800" w:leader="none"/>
                <w:tab w:val="left" w:pos="2280" w:leader="none"/>
              </w:tabs>
              <w:spacing w:lineRule="exact" w:line="380"/>
              <w:rPr>
                <w:sz w:val="26"/>
              </w:rPr>
            </w:pPr>
            <w:r>
              <w:rPr>
                <w:sz w:val="26"/>
              </w:rPr>
              <w:tab/>
              <w:t>-18%</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492" w:leader="none"/>
                <w:tab w:val="left" w:pos="840" w:leader="none"/>
                <w:tab w:val="left" w:pos="1200" w:leader="none"/>
                <w:tab w:val="left" w:pos="1800" w:leader="none"/>
                <w:tab w:val="left" w:pos="2280" w:leader="none"/>
              </w:tabs>
              <w:spacing w:lineRule="exact" w:line="380"/>
              <w:rPr>
                <w:sz w:val="26"/>
              </w:rPr>
            </w:pPr>
            <w:r>
              <w:rPr>
                <w:sz w:val="26"/>
              </w:rPr>
              <w:tab/>
              <w:t>-0.7%</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60"/>
              <w:rPr>
                <w:sz w:val="26"/>
              </w:rPr>
            </w:pPr>
            <w:r>
              <w:rPr>
                <w:sz w:val="26"/>
              </w:rPr>
              <w:tab/>
              <w:t>1.4%</w:t>
            </w:r>
          </w:p>
        </w:tc>
      </w:tr>
      <w:tr>
        <w:trPr/>
        <w:tc>
          <w:tcPr>
            <w:tcW w:w="228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pacing w:lineRule="exact" w:line="380"/>
              <w:rPr>
                <w:sz w:val="26"/>
              </w:rPr>
            </w:pPr>
            <w:r>
              <w:rPr>
                <w:sz w:val="26"/>
              </w:rPr>
              <w:t>Developing Asia</w:t>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1,053</w:t>
            </w:r>
          </w:p>
        </w:tc>
        <w:tc>
          <w:tcPr>
            <w:tcW w:w="1112"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524" w:leader="none"/>
                <w:tab w:val="left" w:pos="840" w:leader="none"/>
                <w:tab w:val="left" w:pos="1200" w:leader="none"/>
                <w:tab w:val="left" w:pos="1800" w:leader="none"/>
                <w:tab w:val="left" w:pos="2280" w:leader="none"/>
              </w:tabs>
              <w:spacing w:lineRule="exact" w:line="380"/>
              <w:rPr>
                <w:sz w:val="26"/>
              </w:rPr>
            </w:pPr>
            <w:r>
              <w:rPr>
                <w:sz w:val="26"/>
              </w:rPr>
              <w:tab/>
              <w:t>1,361</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 xml:space="preserve"> 29%</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sz w:val="26"/>
              </w:rPr>
            </w:pPr>
            <w:r>
              <w:rPr>
                <w:sz w:val="26"/>
              </w:rPr>
              <w:t>2,137</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103%</w:t>
            </w:r>
          </w:p>
        </w:tc>
        <w:tc>
          <w:tcPr>
            <w:tcW w:w="108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3,013</w:t>
            </w:r>
          </w:p>
        </w:tc>
        <w:tc>
          <w:tcPr>
            <w:tcW w:w="132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1200" w:leader="none"/>
                <w:tab w:val="left" w:pos="1800" w:leader="none"/>
                <w:tab w:val="left" w:pos="2280" w:leader="none"/>
              </w:tabs>
              <w:spacing w:lineRule="exact" w:line="380"/>
              <w:rPr>
                <w:sz w:val="26"/>
              </w:rPr>
            </w:pPr>
            <w:r>
              <w:rPr>
                <w:sz w:val="26"/>
              </w:rPr>
              <w:tab/>
              <w:t>186%</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sz w:val="26"/>
              </w:rPr>
            </w:pPr>
            <w:r>
              <w:rPr>
                <w:sz w:val="26"/>
              </w:rPr>
              <w:tab/>
              <w:t>3.6%</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60"/>
              <w:rPr>
                <w:sz w:val="26"/>
              </w:rPr>
            </w:pPr>
            <w:r>
              <w:rPr>
                <w:sz w:val="26"/>
              </w:rPr>
              <w:tab/>
              <w:t>3.9%</w:t>
            </w:r>
          </w:p>
        </w:tc>
      </w:tr>
      <w:tr>
        <w:trPr/>
        <w:tc>
          <w:tcPr>
            <w:tcW w:w="228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pacing w:lineRule="exact" w:line="380"/>
              <w:rPr>
                <w:sz w:val="26"/>
              </w:rPr>
            </w:pPr>
            <w:r>
              <w:rPr>
                <w:sz w:val="26"/>
              </w:rPr>
              <w:t>Other</w:t>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588</w:t>
            </w:r>
          </w:p>
        </w:tc>
        <w:tc>
          <w:tcPr>
            <w:tcW w:w="1112"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524" w:leader="none"/>
                <w:tab w:val="left" w:pos="840" w:leader="none"/>
                <w:tab w:val="left" w:pos="1200" w:leader="none"/>
                <w:tab w:val="left" w:pos="1800" w:leader="none"/>
                <w:tab w:val="left" w:pos="2280" w:leader="none"/>
              </w:tabs>
              <w:spacing w:lineRule="exact" w:line="380"/>
              <w:rPr>
                <w:sz w:val="26"/>
              </w:rPr>
            </w:pPr>
            <w:r>
              <w:rPr>
                <w:sz w:val="26"/>
              </w:rPr>
              <w:tab/>
              <w:t>797</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 xml:space="preserve">  36%</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sz w:val="26"/>
              </w:rPr>
            </w:pPr>
            <w:r>
              <w:rPr>
                <w:sz w:val="26"/>
              </w:rPr>
              <w:t>1,139</w:t>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94%</w:t>
            </w:r>
          </w:p>
        </w:tc>
        <w:tc>
          <w:tcPr>
            <w:tcW w:w="108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sz w:val="26"/>
              </w:rPr>
            </w:pPr>
            <w:r>
              <w:rPr>
                <w:sz w:val="26"/>
              </w:rPr>
              <w:tab/>
              <w:t>1,611</w:t>
            </w:r>
          </w:p>
        </w:tc>
        <w:tc>
          <w:tcPr>
            <w:tcW w:w="132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1200" w:leader="none"/>
                <w:tab w:val="left" w:pos="1800" w:leader="none"/>
                <w:tab w:val="left" w:pos="2280" w:leader="none"/>
              </w:tabs>
              <w:spacing w:lineRule="exact" w:line="380"/>
              <w:rPr>
                <w:sz w:val="26"/>
              </w:rPr>
            </w:pPr>
            <w:r>
              <w:rPr>
                <w:sz w:val="26"/>
              </w:rPr>
              <w:tab/>
              <w:t>174%</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sz w:val="26"/>
              </w:rPr>
            </w:pPr>
            <w:r>
              <w:rPr>
                <w:sz w:val="26"/>
              </w:rPr>
              <w:tab/>
              <w:t>3.4%</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60"/>
              <w:rPr>
                <w:sz w:val="26"/>
              </w:rPr>
            </w:pPr>
            <w:r>
              <w:rPr>
                <w:sz w:val="26"/>
              </w:rPr>
              <w:tab/>
              <w:t>3.4%</w:t>
            </w:r>
          </w:p>
        </w:tc>
      </w:tr>
      <w:tr>
        <w:trPr/>
        <w:tc>
          <w:tcPr>
            <w:tcW w:w="2280" w:type="dxa"/>
            <w:tcBorders>
              <w:top w:val="single" w:sz="4" w:space="0" w:color="000000"/>
              <w:start w:val="single" w:sz="4" w:space="0" w:color="000000"/>
              <w:bottom w:val="single" w:sz="4" w:space="0" w:color="000000"/>
              <w:end w:val="single" w:sz="18" w:space="0" w:color="000000"/>
            </w:tcBorders>
          </w:tcPr>
          <w:p>
            <w:pPr>
              <w:pStyle w:val="Normal"/>
              <w:tabs>
                <w:tab w:val="clear" w:pos="720"/>
                <w:tab w:val="left" w:pos="840" w:leader="none"/>
                <w:tab w:val="left" w:pos="1200" w:leader="none"/>
                <w:tab w:val="left" w:pos="1800" w:leader="none"/>
                <w:tab w:val="left" w:pos="2280" w:leader="none"/>
              </w:tabs>
              <w:spacing w:lineRule="exact" w:line="380"/>
              <w:rPr>
                <w:b/>
                <w:bCs/>
                <w:sz w:val="26"/>
              </w:rPr>
            </w:pPr>
            <w:r>
              <w:rPr>
                <w:b/>
                <w:bCs/>
                <w:sz w:val="26"/>
              </w:rPr>
              <w:t>Total World</w:t>
            </w:r>
          </w:p>
        </w:tc>
        <w:tc>
          <w:tcPr>
            <w:tcW w:w="1288" w:type="dxa"/>
            <w:tcBorders>
              <w:top w:val="single" w:sz="4" w:space="0" w:color="000000"/>
              <w:start w:val="single" w:sz="18"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b/>
                <w:bCs/>
                <w:sz w:val="26"/>
              </w:rPr>
            </w:pPr>
            <w:r>
              <w:rPr>
                <w:b/>
                <w:bCs/>
                <w:sz w:val="26"/>
              </w:rPr>
              <w:tab/>
            </w:r>
            <w:r>
              <w:fldChar w:fldCharType="begin"/>
            </w:r>
            <w:r>
              <w:rPr>
                <w:sz w:val="26"/>
                <w:b/>
                <w:bCs/>
                <w:lang w:val="en-CA" w:eastAsia="en-CA"/>
              </w:rPr>
              <w:instrText xml:space="preserve"> =SUM(ABOVE) </w:instrText>
            </w:r>
            <w:r>
              <w:rPr>
                <w:b/>
                <w:bCs/>
                <w:sz w:val="26"/>
                <w:lang w:val="en-CA" w:eastAsia="en-CA"/>
              </w:rPr>
            </w:r>
            <w:r>
              <w:rPr>
                <w:sz w:val="26"/>
                <w:b/>
                <w:bCs/>
                <w:lang w:val="en-CA" w:eastAsia="en-CA"/>
              </w:rPr>
              <w:fldChar w:fldCharType="separate"/>
            </w:r>
            <w:r>
              <w:rPr>
                <w:b/>
                <w:bCs/>
                <w:sz w:val="26"/>
                <w:lang w:val="en-CA" w:eastAsia="en-CA"/>
              </w:rPr>
              <w:t>5,821</w:t>
            </w:r>
            <w:r/>
            <w:r>
              <w:rPr>
                <w:sz w:val="26"/>
                <w:b/>
                <w:bCs/>
                <w:lang w:val="en-CA" w:eastAsia="en-CA"/>
              </w:rPr>
              <w:fldChar w:fldCharType="end"/>
            </w:r>
            <w:r>
              <w:rPr>
                <w:b/>
                <w:bCs/>
                <w:sz w:val="26"/>
                <w:lang w:val="en-CA" w:eastAsia="en-CA"/>
              </w:rPr>
            </w:r>
          </w:p>
        </w:tc>
        <w:tc>
          <w:tcPr>
            <w:tcW w:w="1112"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524" w:leader="none"/>
                <w:tab w:val="left" w:pos="840" w:leader="none"/>
                <w:tab w:val="left" w:pos="1200" w:leader="none"/>
                <w:tab w:val="left" w:pos="1800" w:leader="none"/>
                <w:tab w:val="left" w:pos="2280" w:leader="none"/>
              </w:tabs>
              <w:spacing w:lineRule="exact" w:line="380"/>
              <w:rPr>
                <w:b/>
                <w:bCs/>
                <w:sz w:val="26"/>
              </w:rPr>
            </w:pPr>
            <w:r>
              <w:rPr>
                <w:b/>
                <w:bCs/>
                <w:sz w:val="26"/>
              </w:rPr>
              <w:tab/>
            </w:r>
            <w:r>
              <w:fldChar w:fldCharType="begin"/>
            </w:r>
            <w:r>
              <w:rPr>
                <w:sz w:val="26"/>
                <w:b/>
                <w:bCs/>
                <w:lang w:val="en-CA" w:eastAsia="en-CA"/>
              </w:rPr>
              <w:instrText xml:space="preserve"> =SUM(ABOVE) </w:instrText>
            </w:r>
            <w:r>
              <w:rPr>
                <w:b/>
                <w:bCs/>
                <w:sz w:val="26"/>
                <w:lang w:val="en-CA" w:eastAsia="en-CA"/>
              </w:rPr>
            </w:r>
            <w:r>
              <w:rPr>
                <w:sz w:val="26"/>
                <w:b/>
                <w:bCs/>
                <w:lang w:val="en-CA" w:eastAsia="en-CA"/>
              </w:rPr>
              <w:fldChar w:fldCharType="separate"/>
            </w:r>
            <w:r>
              <w:rPr>
                <w:b/>
                <w:bCs/>
                <w:sz w:val="26"/>
                <w:lang w:val="en-CA" w:eastAsia="en-CA"/>
              </w:rPr>
              <w:t>6,091</w:t>
            </w:r>
            <w:r/>
            <w:r>
              <w:rPr>
                <w:sz w:val="26"/>
                <w:b/>
                <w:bCs/>
                <w:lang w:val="en-CA" w:eastAsia="en-CA"/>
              </w:rPr>
              <w:fldChar w:fldCharType="end"/>
            </w:r>
            <w:r>
              <w:rPr>
                <w:b/>
                <w:bCs/>
                <w:sz w:val="26"/>
                <w:lang w:val="en-CA" w:eastAsia="en-CA"/>
              </w:rPr>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 w:val="right" w:pos="3492" w:leader="none"/>
              </w:tabs>
              <w:spacing w:lineRule="exact" w:line="380"/>
              <w:rPr>
                <w:b/>
                <w:bCs/>
                <w:sz w:val="26"/>
              </w:rPr>
            </w:pPr>
            <w:r>
              <w:rPr>
                <w:b/>
                <w:bCs/>
                <w:sz w:val="26"/>
              </w:rPr>
              <w:tab/>
              <w:t>5%</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80"/>
              <w:rPr>
                <w:b/>
                <w:bCs/>
                <w:sz w:val="26"/>
              </w:rPr>
            </w:pPr>
            <w:r>
              <w:fldChar w:fldCharType="begin"/>
            </w:r>
            <w:r>
              <w:rPr>
                <w:sz w:val="26"/>
                <w:b/>
                <w:bCs/>
                <w:lang w:val="en-CA" w:eastAsia="en-CA"/>
              </w:rPr>
              <w:instrText xml:space="preserve"> =SUM(ABOVE) </w:instrText>
            </w:r>
            <w:r>
              <w:rPr>
                <w:b/>
                <w:bCs/>
                <w:sz w:val="26"/>
                <w:lang w:val="en-CA" w:eastAsia="en-CA"/>
              </w:rPr>
            </w:r>
            <w:r>
              <w:rPr>
                <w:sz w:val="26"/>
                <w:b/>
                <w:bCs/>
                <w:lang w:val="en-CA" w:eastAsia="en-CA"/>
              </w:rPr>
              <w:fldChar w:fldCharType="separate"/>
            </w:r>
            <w:r>
              <w:rPr>
                <w:b/>
                <w:bCs/>
                <w:sz w:val="26"/>
                <w:lang w:val="en-CA" w:eastAsia="en-CA"/>
              </w:rPr>
              <w:t>7,836</w:t>
            </w:r>
            <w:r/>
            <w:r>
              <w:rPr>
                <w:sz w:val="26"/>
                <w:b/>
                <w:bCs/>
                <w:lang w:val="en-CA" w:eastAsia="en-CA"/>
              </w:rPr>
              <w:fldChar w:fldCharType="end"/>
            </w:r>
            <w:r>
              <w:rPr>
                <w:b/>
                <w:bCs/>
                <w:sz w:val="26"/>
                <w:lang w:val="en-CA" w:eastAsia="en-CA"/>
              </w:rPr>
            </w:r>
          </w:p>
        </w:tc>
        <w:tc>
          <w:tcPr>
            <w:tcW w:w="120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b/>
                <w:bCs/>
                <w:sz w:val="26"/>
              </w:rPr>
            </w:pPr>
            <w:r>
              <w:rPr>
                <w:b/>
                <w:bCs/>
                <w:sz w:val="26"/>
              </w:rPr>
              <w:tab/>
              <w:t>35%</w:t>
            </w:r>
          </w:p>
        </w:tc>
        <w:tc>
          <w:tcPr>
            <w:tcW w:w="108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732" w:leader="none"/>
                <w:tab w:val="left" w:pos="840" w:leader="none"/>
                <w:tab w:val="left" w:pos="1200" w:leader="none"/>
                <w:tab w:val="left" w:pos="1800" w:leader="none"/>
                <w:tab w:val="left" w:pos="2280" w:leader="none"/>
              </w:tabs>
              <w:spacing w:lineRule="exact" w:line="380"/>
              <w:rPr>
                <w:b/>
                <w:bCs/>
                <w:sz w:val="26"/>
              </w:rPr>
            </w:pPr>
            <w:r>
              <w:rPr>
                <w:b/>
                <w:bCs/>
                <w:sz w:val="26"/>
              </w:rPr>
              <w:tab/>
            </w:r>
            <w:r>
              <w:fldChar w:fldCharType="begin"/>
            </w:r>
            <w:r>
              <w:rPr>
                <w:sz w:val="26"/>
                <w:b/>
                <w:bCs/>
                <w:lang w:val="en-CA" w:eastAsia="en-CA"/>
              </w:rPr>
              <w:instrText xml:space="preserve"> =SUM(ABOVE) </w:instrText>
            </w:r>
            <w:r>
              <w:rPr>
                <w:b/>
                <w:bCs/>
                <w:sz w:val="26"/>
                <w:lang w:val="en-CA" w:eastAsia="en-CA"/>
              </w:rPr>
            </w:r>
            <w:r>
              <w:rPr>
                <w:sz w:val="26"/>
                <w:b/>
                <w:bCs/>
                <w:lang w:val="en-CA" w:eastAsia="en-CA"/>
              </w:rPr>
              <w:fldChar w:fldCharType="separate"/>
            </w:r>
            <w:r>
              <w:rPr>
                <w:b/>
                <w:bCs/>
                <w:sz w:val="26"/>
                <w:lang w:val="en-CA" w:eastAsia="en-CA"/>
              </w:rPr>
              <w:t>9,761</w:t>
            </w:r>
            <w:r/>
            <w:r>
              <w:rPr>
                <w:sz w:val="26"/>
                <w:b/>
                <w:bCs/>
                <w:lang w:val="en-CA" w:eastAsia="en-CA"/>
              </w:rPr>
              <w:fldChar w:fldCharType="end"/>
            </w:r>
            <w:r>
              <w:rPr>
                <w:b/>
                <w:bCs/>
                <w:sz w:val="26"/>
                <w:lang w:val="en-CA" w:eastAsia="en-CA"/>
              </w:rPr>
            </w:r>
          </w:p>
        </w:tc>
        <w:tc>
          <w:tcPr>
            <w:tcW w:w="1320" w:type="dxa"/>
            <w:tcBorders>
              <w:top w:val="single" w:sz="4" w:space="0" w:color="000000"/>
              <w:start w:val="single" w:sz="4" w:space="0" w:color="000000"/>
              <w:bottom w:val="single" w:sz="4" w:space="0" w:color="000000"/>
              <w:end w:val="single" w:sz="18" w:space="0" w:color="000000"/>
            </w:tcBorders>
          </w:tcPr>
          <w:p>
            <w:pPr>
              <w:pStyle w:val="Normal"/>
              <w:tabs>
                <w:tab w:val="clear" w:pos="720"/>
                <w:tab w:val="right" w:pos="732" w:leader="none"/>
                <w:tab w:val="left" w:pos="1200" w:leader="none"/>
                <w:tab w:val="left" w:pos="1800" w:leader="none"/>
                <w:tab w:val="left" w:pos="2280" w:leader="none"/>
              </w:tabs>
              <w:spacing w:lineRule="exact" w:line="380"/>
              <w:rPr>
                <w:b/>
                <w:bCs/>
                <w:sz w:val="26"/>
              </w:rPr>
            </w:pPr>
            <w:r>
              <w:rPr>
                <w:b/>
                <w:bCs/>
                <w:sz w:val="26"/>
              </w:rPr>
              <w:tab/>
              <w:t>68%</w:t>
            </w:r>
          </w:p>
        </w:tc>
        <w:tc>
          <w:tcPr>
            <w:tcW w:w="960" w:type="dxa"/>
            <w:tcBorders>
              <w:top w:val="single" w:sz="4" w:space="0" w:color="000000"/>
              <w:start w:val="single" w:sz="18" w:space="0" w:color="000000"/>
              <w:bottom w:val="single" w:sz="4" w:space="0" w:color="000000"/>
              <w:end w:val="single" w:sz="4" w:space="0" w:color="000000"/>
            </w:tcBorders>
          </w:tcPr>
          <w:p>
            <w:pPr>
              <w:pStyle w:val="Normal"/>
              <w:tabs>
                <w:tab w:val="clear" w:pos="720"/>
                <w:tab w:val="right" w:pos="492" w:leader="none"/>
                <w:tab w:val="left" w:pos="840" w:leader="none"/>
                <w:tab w:val="left" w:pos="1200" w:leader="none"/>
                <w:tab w:val="left" w:pos="1800" w:leader="none"/>
                <w:tab w:val="left" w:pos="2280" w:leader="none"/>
              </w:tabs>
              <w:spacing w:lineRule="exact" w:line="380"/>
              <w:rPr>
                <w:b/>
                <w:bCs/>
                <w:sz w:val="26"/>
              </w:rPr>
            </w:pPr>
            <w:r>
              <w:rPr>
                <w:b/>
                <w:bCs/>
                <w:sz w:val="26"/>
              </w:rPr>
              <w:tab/>
              <w:t>1.7%</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612" w:leader="none"/>
                <w:tab w:val="left" w:pos="840" w:leader="none"/>
                <w:tab w:val="left" w:pos="1200" w:leader="none"/>
                <w:tab w:val="left" w:pos="1800" w:leader="none"/>
                <w:tab w:val="left" w:pos="2280" w:leader="none"/>
              </w:tabs>
              <w:spacing w:lineRule="exact" w:line="360"/>
              <w:rPr>
                <w:b/>
                <w:bCs/>
                <w:sz w:val="26"/>
              </w:rPr>
            </w:pPr>
            <w:r>
              <w:rPr>
                <w:b/>
                <w:bCs/>
                <w:sz w:val="26"/>
              </w:rPr>
              <w:tab/>
              <w:t>2.3%</w:t>
            </w:r>
          </w:p>
        </w:tc>
      </w:tr>
    </w:tbl>
    <w:p>
      <w:pPr>
        <w:pStyle w:val="Normal"/>
        <w:tabs>
          <w:tab w:val="clear" w:pos="720"/>
          <w:tab w:val="left" w:pos="840" w:leader="none"/>
          <w:tab w:val="left" w:pos="1200" w:leader="none"/>
          <w:tab w:val="left" w:pos="2040" w:leader="none"/>
          <w:tab w:val="left" w:pos="2280" w:leader="none"/>
        </w:tabs>
        <w:spacing w:lineRule="auto" w:line="360"/>
        <w:ind w:start="720" w:end="0"/>
        <w:rPr>
          <w:sz w:val="28"/>
        </w:rPr>
      </w:pPr>
      <w:r>
        <w:rPr>
          <w:sz w:val="28"/>
        </w:rPr>
        <w:t>Source:  EIA/DOE</w:t>
      </w:r>
    </w:p>
    <w:p>
      <w:pPr>
        <w:pStyle w:val="Normal"/>
        <w:numPr>
          <w:ilvl w:val="0"/>
          <w:numId w:val="30"/>
        </w:numPr>
        <w:tabs>
          <w:tab w:val="clear" w:pos="720"/>
          <w:tab w:val="left" w:pos="840" w:leader="none"/>
          <w:tab w:val="left" w:pos="1200" w:leader="none"/>
          <w:tab w:val="left" w:pos="2040" w:leader="none"/>
          <w:tab w:val="left" w:pos="2280" w:leader="none"/>
        </w:tabs>
        <w:spacing w:lineRule="exact" w:line="360"/>
        <w:rPr>
          <w:sz w:val="26"/>
        </w:rPr>
      </w:pPr>
      <w:r>
        <w:rPr>
          <w:sz w:val="26"/>
        </w:rPr>
        <w:t>EIA/DOE anticipates global CO</w:t>
      </w:r>
      <w:r>
        <w:rPr>
          <w:sz w:val="26"/>
          <w:vertAlign w:val="subscript"/>
        </w:rPr>
        <w:t>2</w:t>
      </w:r>
      <w:r>
        <w:rPr>
          <w:sz w:val="26"/>
        </w:rPr>
        <w:t xml:space="preserve"> emission increases at 2.3%/year (1.5%/year in U.S.)</w:t>
      </w:r>
    </w:p>
    <w:p>
      <w:pPr>
        <w:pStyle w:val="Normal"/>
        <w:tabs>
          <w:tab w:val="clear" w:pos="720"/>
          <w:tab w:val="left" w:pos="840" w:leader="none"/>
          <w:tab w:val="left" w:pos="1200" w:leader="none"/>
          <w:tab w:val="left" w:pos="2040" w:leader="none"/>
          <w:tab w:val="left" w:pos="2280" w:leader="none"/>
        </w:tabs>
        <w:spacing w:lineRule="exact" w:line="360"/>
        <w:ind w:start="720" w:end="0"/>
        <w:rPr>
          <w:sz w:val="26"/>
        </w:rPr>
      </w:pPr>
      <w:r>
        <w:rPr>
          <w:sz w:val="26"/>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Conclusions</w:t>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numPr>
          <w:ilvl w:val="0"/>
          <w:numId w:val="29"/>
        </w:numPr>
        <w:tabs>
          <w:tab w:val="clear" w:pos="720"/>
          <w:tab w:val="left" w:pos="840" w:leader="none"/>
          <w:tab w:val="left" w:pos="1200" w:leader="none"/>
          <w:tab w:val="left" w:pos="1800" w:leader="none"/>
          <w:tab w:val="left" w:pos="2280" w:leader="none"/>
        </w:tabs>
        <w:spacing w:lineRule="auto" w:line="360"/>
        <w:rPr>
          <w:sz w:val="28"/>
        </w:rPr>
      </w:pPr>
      <w:r>
        <w:rPr>
          <w:b/>
          <w:bCs/>
          <w:sz w:val="28"/>
        </w:rPr>
        <w:t>Natural gas is still the fuel of choice for the Western U.S.</w:t>
        <w:br/>
        <w:tab/>
      </w:r>
      <w:r>
        <w:rPr>
          <w:sz w:val="28"/>
        </w:rPr>
        <w:t>-</w:t>
        <w:tab/>
        <w:t>economically and environmentally</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numPr>
          <w:ilvl w:val="0"/>
          <w:numId w:val="29"/>
        </w:numPr>
        <w:tabs>
          <w:tab w:val="clear" w:pos="720"/>
          <w:tab w:val="left" w:pos="840" w:leader="none"/>
          <w:tab w:val="left" w:pos="1200" w:leader="none"/>
          <w:tab w:val="left" w:pos="1800" w:leader="none"/>
          <w:tab w:val="left" w:pos="2280" w:leader="none"/>
        </w:tabs>
        <w:spacing w:lineRule="auto" w:line="360"/>
        <w:rPr>
          <w:b/>
          <w:bCs/>
          <w:sz w:val="28"/>
        </w:rPr>
      </w:pPr>
      <w:r>
        <w:rPr>
          <w:b/>
          <w:bCs/>
          <w:sz w:val="28"/>
        </w:rPr>
        <w:t>Consumer sensitivity to higher energy prices makes NIMBY a problem for the environment</w:t>
      </w:r>
    </w:p>
    <w:p>
      <w:pPr>
        <w:pStyle w:val="Normal"/>
        <w:tabs>
          <w:tab w:val="clear" w:pos="720"/>
          <w:tab w:val="left" w:pos="840" w:leader="none"/>
          <w:tab w:val="left" w:pos="1200" w:leader="none"/>
          <w:tab w:val="left" w:pos="1800" w:leader="none"/>
          <w:tab w:val="left" w:pos="2280" w:leader="none"/>
        </w:tabs>
        <w:rPr/>
      </w:pPr>
      <w:r>
        <w:rPr>
          <w:b/>
          <w:bCs/>
          <w:sz w:val="28"/>
        </w:rPr>
        <w:tab/>
      </w:r>
      <w:r>
        <w:rPr>
          <w:sz w:val="28"/>
        </w:rPr>
        <w:t>-</w:t>
        <w:tab/>
        <w:t>replacement capacity for blocked greenfield capacity is less efficient/more polluting</w:t>
        <w:b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numPr>
          <w:ilvl w:val="0"/>
          <w:numId w:val="29"/>
        </w:numPr>
        <w:tabs>
          <w:tab w:val="clear" w:pos="720"/>
          <w:tab w:val="left" w:pos="840" w:leader="none"/>
          <w:tab w:val="left" w:pos="1200" w:leader="none"/>
          <w:tab w:val="left" w:pos="1800" w:leader="none"/>
          <w:tab w:val="left" w:pos="2280" w:leader="none"/>
        </w:tabs>
        <w:rPr>
          <w:b/>
          <w:bCs/>
          <w:sz w:val="28"/>
        </w:rPr>
      </w:pPr>
      <w:r>
        <w:rPr>
          <w:b/>
          <w:bCs/>
          <w:sz w:val="28"/>
        </w:rPr>
        <w:t>Energy conservation from price signals may be more "sustainable" than command-and-subsidy conservation</w:t>
      </w:r>
    </w:p>
    <w:p>
      <w:pPr>
        <w:pStyle w:val="Normal"/>
        <w:tabs>
          <w:tab w:val="clear" w:pos="720"/>
          <w:tab w:val="left" w:pos="840" w:leader="none"/>
          <w:tab w:val="left" w:pos="1200" w:leader="none"/>
          <w:tab w:val="left" w:pos="1800" w:leader="none"/>
          <w:tab w:val="left" w:pos="2280" w:leader="none"/>
        </w:tabs>
        <w:spacing w:lineRule="exact" w:line="480"/>
        <w:rPr/>
      </w:pPr>
      <w:r>
        <w:rPr>
          <w:b/>
          <w:bCs/>
          <w:sz w:val="28"/>
        </w:rPr>
        <w:tab/>
      </w:r>
      <w:r>
        <w:rPr>
          <w:sz w:val="28"/>
        </w:rPr>
        <w:t>-</w:t>
        <w:tab/>
        <w:t>invite discussion</w:t>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numPr>
          <w:ilvl w:val="0"/>
          <w:numId w:val="29"/>
        </w:numPr>
        <w:tabs>
          <w:tab w:val="clear" w:pos="720"/>
          <w:tab w:val="left" w:pos="840" w:leader="none"/>
          <w:tab w:val="left" w:pos="1200" w:leader="none"/>
          <w:tab w:val="left" w:pos="1800" w:leader="none"/>
          <w:tab w:val="left" w:pos="2280" w:leader="none"/>
        </w:tabs>
        <w:spacing w:lineRule="auto" w:line="360"/>
        <w:rPr>
          <w:b/>
          <w:bCs/>
          <w:sz w:val="28"/>
        </w:rPr>
      </w:pPr>
      <w:r>
        <w:rPr>
          <w:b/>
          <w:bCs/>
          <w:sz w:val="28"/>
        </w:rPr>
        <w:t>Climate change policy will need to be price neutral as possible--at least in the short term</w:t>
      </w:r>
    </w:p>
    <w:p>
      <w:pPr>
        <w:pStyle w:val="Normal"/>
        <w:tabs>
          <w:tab w:val="clear" w:pos="720"/>
          <w:tab w:val="left" w:pos="840" w:leader="none"/>
          <w:tab w:val="left" w:pos="1200" w:leader="none"/>
          <w:tab w:val="left" w:pos="1800" w:leader="none"/>
          <w:tab w:val="left" w:pos="2280" w:leader="none"/>
        </w:tabs>
        <w:rPr>
          <w:sz w:val="28"/>
        </w:rPr>
      </w:pPr>
      <w:r>
        <w:rPr>
          <w:sz w:val="28"/>
        </w:rPr>
        <w:tab/>
        <w:t>-</w:t>
        <w:tab/>
        <w:t>discussion also invited</w:t>
      </w:r>
    </w:p>
    <w:sectPr>
      <w:footerReference w:type="default" r:id="rId2"/>
      <w:type w:val="nextPage"/>
      <w:pgSz w:orient="landscape" w:w="15840" w:h="12240"/>
      <w:pgMar w:left="1440" w:right="1440" w:gutter="0" w:header="0" w:top="129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SAPDings">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r>
  </w:p>
  <w:p>
    <w:pPr>
      <w:pStyle w:val="Footer"/>
      <w:rPr>
        <w:sz w:val="16"/>
      </w:rPr>
    </w:pPr>
    <w:r>
      <w:rPr>
        <w:sz w:val="16"/>
      </w:rPr>
      <w:t>KLL-Denver - 5-23-01</w:t>
    </w:r>
  </w:p>
  <w:p>
    <w:pPr>
      <w:pStyle w:val="Footer"/>
      <w:rPr>
        <w:sz w:val="16"/>
      </w:rPr>
    </w:pPr>
    <w:r>
      <w:rPr>
        <w:sz w:val="16"/>
      </w:rPr>
      <w:t>Power-Energy in the West</w:t>
    </w:r>
  </w:p>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22</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32"/>
        </w:tabs>
        <w:ind w:start="432" w:hanging="432"/>
      </w:pPr>
      <w:rPr>
        <w:rFonts w:ascii="Symbol" w:hAnsi="Symbol" w:cs="Symbol" w:hint="default"/>
      </w:rPr>
    </w:lvl>
  </w:abstractNum>
  <w:abstractNum w:abstractNumId="2">
    <w:lvl w:ilvl="0">
      <w:start w:val="1"/>
      <w:numFmt w:val="bullet"/>
      <w:lvlText w:val=""/>
      <w:lvlJc w:val="start"/>
      <w:pPr>
        <w:tabs>
          <w:tab w:val="num" w:pos="432"/>
        </w:tabs>
        <w:ind w:start="432" w:hanging="432"/>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rPr>
    </w:lvl>
  </w:abstractNum>
  <w:abstractNum w:abstractNumId="4">
    <w:lvl w:ilvl="0">
      <w:start w:val="1"/>
      <w:numFmt w:val="bullet"/>
      <w:lvlText w:val=""/>
      <w:lvlJc w:val="start"/>
      <w:pPr>
        <w:tabs>
          <w:tab w:val="num" w:pos="432"/>
        </w:tabs>
        <w:ind w:start="432" w:hanging="432"/>
      </w:pPr>
      <w:rPr>
        <w:rFonts w:ascii="Symbol" w:hAnsi="Symbol" w:cs="Symbol" w:hint="default"/>
      </w:rPr>
    </w:lvl>
  </w:abstractNum>
  <w:abstractNum w:abstractNumId="5">
    <w:lvl w:ilvl="0">
      <w:start w:val="1"/>
      <w:numFmt w:val="bullet"/>
      <w:lvlText w:val=""/>
      <w:lvlJc w:val="start"/>
      <w:pPr>
        <w:tabs>
          <w:tab w:val="num" w:pos="432"/>
        </w:tabs>
        <w:ind w:start="432" w:hanging="432"/>
      </w:pPr>
      <w:rPr>
        <w:rFonts w:ascii="Symbol" w:hAnsi="Symbol" w:cs="Symbol" w:hint="default"/>
      </w:rPr>
    </w:lvl>
  </w:abstractNum>
  <w:abstractNum w:abstractNumId="6">
    <w:lvl w:ilvl="0">
      <w:start w:val="1"/>
      <w:numFmt w:val="bullet"/>
      <w:lvlText w:val=""/>
      <w:lvlJc w:val="start"/>
      <w:pPr>
        <w:tabs>
          <w:tab w:val="num" w:pos="432"/>
        </w:tabs>
        <w:ind w:start="432" w:hanging="432"/>
      </w:pPr>
      <w:rPr>
        <w:rFonts w:ascii="Symbol" w:hAnsi="Symbol" w:cs="Symbol" w:hint="default"/>
      </w:rPr>
    </w:lvl>
  </w:abstractNum>
  <w:abstractNum w:abstractNumId="7">
    <w:lvl w:ilvl="0">
      <w:start w:val="1"/>
      <w:numFmt w:val="bullet"/>
      <w:lvlText w:val=""/>
      <w:lvlJc w:val="start"/>
      <w:pPr>
        <w:tabs>
          <w:tab w:val="num" w:pos="432"/>
        </w:tabs>
        <w:ind w:start="432" w:hanging="432"/>
      </w:pPr>
      <w:rPr>
        <w:rFonts w:ascii="Symbol" w:hAnsi="Symbol" w:cs="Symbol" w:hint="default"/>
      </w:rPr>
    </w:lvl>
  </w:abstractNum>
  <w:abstractNum w:abstractNumId="8">
    <w:lvl w:ilvl="0">
      <w:start w:val="1"/>
      <w:numFmt w:val="bullet"/>
      <w:lvlText w:val=""/>
      <w:lvlJc w:val="start"/>
      <w:pPr>
        <w:tabs>
          <w:tab w:val="num" w:pos="432"/>
        </w:tabs>
        <w:ind w:start="432" w:hanging="432"/>
      </w:pPr>
      <w:rPr>
        <w:rFonts w:ascii="Symbol" w:hAnsi="Symbol" w:cs="Symbol" w:hint="default"/>
      </w:rPr>
    </w:lvl>
  </w:abstractNum>
  <w:abstractNum w:abstractNumId="9">
    <w:lvl w:ilvl="0">
      <w:start w:val="1"/>
      <w:numFmt w:val="bullet"/>
      <w:lvlText w:val=""/>
      <w:lvlJc w:val="start"/>
      <w:pPr>
        <w:tabs>
          <w:tab w:val="num" w:pos="432"/>
        </w:tabs>
        <w:ind w:start="432" w:hanging="432"/>
      </w:pPr>
      <w:rPr>
        <w:rFonts w:ascii="Symbol" w:hAnsi="Symbol" w:cs="Symbol" w:hint="default"/>
      </w:rPr>
    </w:lvl>
  </w:abstractNum>
  <w:abstractNum w:abstractNumId="10">
    <w:lvl w:ilvl="0">
      <w:start w:val="1"/>
      <w:numFmt w:val="bullet"/>
      <w:lvlText w:val=""/>
      <w:lvlJc w:val="start"/>
      <w:pPr>
        <w:tabs>
          <w:tab w:val="num" w:pos="432"/>
        </w:tabs>
        <w:ind w:start="432" w:hanging="432"/>
      </w:pPr>
      <w:rPr>
        <w:rFonts w:ascii="Symbol" w:hAnsi="Symbol" w:cs="Symbol" w:hint="default"/>
      </w:rPr>
    </w:lvl>
  </w:abstractNum>
  <w:abstractNum w:abstractNumId="11">
    <w:lvl w:ilvl="0">
      <w:start w:val="1"/>
      <w:numFmt w:val="bullet"/>
      <w:lvlText w:val=""/>
      <w:lvlJc w:val="start"/>
      <w:pPr>
        <w:tabs>
          <w:tab w:val="num" w:pos="432"/>
        </w:tabs>
        <w:ind w:start="432" w:hanging="432"/>
      </w:pPr>
      <w:rPr>
        <w:rFonts w:ascii="Symbol" w:hAnsi="Symbol" w:cs="Symbol" w:hint="default"/>
      </w:rPr>
    </w:lvl>
  </w:abstractNum>
  <w:abstractNum w:abstractNumId="12">
    <w:lvl w:ilvl="0">
      <w:start w:val="1"/>
      <w:numFmt w:val="bullet"/>
      <w:lvlText w:val=""/>
      <w:lvlJc w:val="start"/>
      <w:pPr>
        <w:tabs>
          <w:tab w:val="num" w:pos="432"/>
        </w:tabs>
        <w:ind w:start="432" w:hanging="432"/>
      </w:pPr>
      <w:rPr>
        <w:rFonts w:ascii="Symbol" w:hAnsi="Symbol" w:cs="Symbol" w:hint="default"/>
      </w:rPr>
    </w:lvl>
  </w:abstractNum>
  <w:abstractNum w:abstractNumId="13">
    <w:lvl w:ilvl="0">
      <w:start w:val="1"/>
      <w:numFmt w:val="bullet"/>
      <w:lvlText w:val=""/>
      <w:lvlJc w:val="start"/>
      <w:pPr>
        <w:tabs>
          <w:tab w:val="num" w:pos="432"/>
        </w:tabs>
        <w:ind w:start="432" w:hanging="432"/>
      </w:pPr>
      <w:rPr>
        <w:rFonts w:ascii="Symbol" w:hAnsi="Symbol" w:cs="Symbol" w:hint="default"/>
      </w:rPr>
    </w:lvl>
  </w:abstractNum>
  <w:abstractNum w:abstractNumId="14">
    <w:lvl w:ilvl="0">
      <w:start w:val="1"/>
      <w:numFmt w:val="bullet"/>
      <w:lvlText w:val=""/>
      <w:lvlJc w:val="start"/>
      <w:pPr>
        <w:tabs>
          <w:tab w:val="num" w:pos="432"/>
        </w:tabs>
        <w:ind w:start="432" w:hanging="432"/>
      </w:pPr>
      <w:rPr>
        <w:rFonts w:ascii="Symbol" w:hAnsi="Symbol" w:cs="Symbol" w:hint="default"/>
      </w:rPr>
    </w:lvl>
  </w:abstractNum>
  <w:abstractNum w:abstractNumId="15">
    <w:lvl w:ilvl="0">
      <w:start w:val="1"/>
      <w:numFmt w:val="bullet"/>
      <w:lvlText w:val=""/>
      <w:lvlJc w:val="start"/>
      <w:pPr>
        <w:tabs>
          <w:tab w:val="num" w:pos="432"/>
        </w:tabs>
        <w:ind w:start="432" w:hanging="432"/>
      </w:pPr>
      <w:rPr>
        <w:rFonts w:ascii="Symbol" w:hAnsi="Symbol" w:cs="Symbol" w:hint="default"/>
      </w:rPr>
    </w:lvl>
  </w:abstractNum>
  <w:abstractNum w:abstractNumId="16">
    <w:lvl w:ilvl="0">
      <w:start w:val="1"/>
      <w:numFmt w:val="bullet"/>
      <w:lvlText w:val=""/>
      <w:lvlJc w:val="start"/>
      <w:pPr>
        <w:tabs>
          <w:tab w:val="num" w:pos="432"/>
        </w:tabs>
        <w:ind w:start="432" w:hanging="432"/>
      </w:pPr>
      <w:rPr>
        <w:rFonts w:ascii="Symbol" w:hAnsi="Symbol" w:cs="Symbol" w:hint="default"/>
      </w:rPr>
    </w:lvl>
  </w:abstractNum>
  <w:abstractNum w:abstractNumId="17">
    <w:lvl w:ilvl="0">
      <w:start w:val="1"/>
      <w:numFmt w:val="bullet"/>
      <w:lvlText w:val=""/>
      <w:lvlJc w:val="start"/>
      <w:pPr>
        <w:tabs>
          <w:tab w:val="num" w:pos="432"/>
        </w:tabs>
        <w:ind w:start="432" w:hanging="432"/>
      </w:pPr>
      <w:rPr>
        <w:rFonts w:ascii="Symbol" w:hAnsi="Symbol" w:cs="Symbol" w:hint="default"/>
      </w:rPr>
    </w:lvl>
  </w:abstractNum>
  <w:abstractNum w:abstractNumId="18">
    <w:lvl w:ilvl="0">
      <w:start w:val="1"/>
      <w:numFmt w:val="bullet"/>
      <w:lvlText w:val=""/>
      <w:lvlJc w:val="start"/>
      <w:pPr>
        <w:tabs>
          <w:tab w:val="num" w:pos="432"/>
        </w:tabs>
        <w:ind w:start="432" w:hanging="432"/>
      </w:pPr>
      <w:rPr>
        <w:rFonts w:ascii="Symbol" w:hAnsi="Symbol" w:cs="Symbol" w:hint="default"/>
      </w:rPr>
    </w:lvl>
  </w:abstractNum>
  <w:abstractNum w:abstractNumId="19">
    <w:lvl w:ilvl="0">
      <w:start w:val="1"/>
      <w:numFmt w:val="bullet"/>
      <w:lvlText w:val=""/>
      <w:lvlJc w:val="start"/>
      <w:pPr>
        <w:tabs>
          <w:tab w:val="num" w:pos="432"/>
        </w:tabs>
        <w:ind w:start="432" w:hanging="432"/>
      </w:pPr>
      <w:rPr>
        <w:rFonts w:ascii="Symbol" w:hAnsi="Symbol" w:cs="Symbol" w:hint="default"/>
      </w:rPr>
    </w:lvl>
  </w:abstractNum>
  <w:abstractNum w:abstractNumId="20">
    <w:lvl w:ilvl="0">
      <w:start w:val="1"/>
      <w:numFmt w:val="bullet"/>
      <w:lvlText w:val=""/>
      <w:lvlJc w:val="start"/>
      <w:pPr>
        <w:tabs>
          <w:tab w:val="num" w:pos="432"/>
        </w:tabs>
        <w:ind w:start="432" w:hanging="432"/>
      </w:pPr>
      <w:rPr>
        <w:rFonts w:ascii="Symbol" w:hAnsi="Symbol" w:cs="Symbol" w:hint="default"/>
      </w:rPr>
    </w:lvl>
  </w:abstractNum>
  <w:abstractNum w:abstractNumId="21">
    <w:lvl w:ilvl="0">
      <w:start w:val="1"/>
      <w:numFmt w:val="bullet"/>
      <w:lvlText w:val=""/>
      <w:lvlJc w:val="start"/>
      <w:pPr>
        <w:tabs>
          <w:tab w:val="num" w:pos="432"/>
        </w:tabs>
        <w:ind w:start="432" w:hanging="432"/>
      </w:pPr>
      <w:rPr>
        <w:rFonts w:ascii="Symbol" w:hAnsi="Symbol" w:cs="Symbol" w:hint="default"/>
      </w:rPr>
    </w:lvl>
  </w:abstractNum>
  <w:abstractNum w:abstractNumId="22">
    <w:lvl w:ilvl="0">
      <w:start w:val="1"/>
      <w:numFmt w:val="bullet"/>
      <w:lvlText w:val=""/>
      <w:lvlJc w:val="start"/>
      <w:pPr>
        <w:tabs>
          <w:tab w:val="num" w:pos="432"/>
        </w:tabs>
        <w:ind w:start="432" w:hanging="432"/>
      </w:pPr>
      <w:rPr>
        <w:rFonts w:ascii="Symbol" w:hAnsi="Symbol" w:cs="Symbol" w:hint="default"/>
      </w:rPr>
    </w:lvl>
  </w:abstractNum>
  <w:abstractNum w:abstractNumId="23">
    <w:lvl w:ilvl="0">
      <w:start w:val="1"/>
      <w:numFmt w:val="bullet"/>
      <w:lvlText w:val=""/>
      <w:lvlJc w:val="start"/>
      <w:pPr>
        <w:tabs>
          <w:tab w:val="num" w:pos="432"/>
        </w:tabs>
        <w:ind w:start="432" w:hanging="432"/>
      </w:pPr>
      <w:rPr>
        <w:rFonts w:ascii="Symbol" w:hAnsi="Symbol" w:cs="Symbol" w:hint="default"/>
      </w:rPr>
    </w:lvl>
  </w:abstractNum>
  <w:abstractNum w:abstractNumId="24">
    <w:lvl w:ilvl="0">
      <w:start w:val="1"/>
      <w:numFmt w:val="bullet"/>
      <w:lvlText w:val=""/>
      <w:lvlJc w:val="start"/>
      <w:pPr>
        <w:tabs>
          <w:tab w:val="num" w:pos="432"/>
        </w:tabs>
        <w:ind w:start="432" w:hanging="432"/>
      </w:pPr>
      <w:rPr>
        <w:rFonts w:ascii="Symbol" w:hAnsi="Symbol" w:cs="Symbol" w:hint="default"/>
      </w:rPr>
    </w:lvl>
  </w:abstractNum>
  <w:abstractNum w:abstractNumId="25">
    <w:lvl w:ilvl="0">
      <w:start w:val="1"/>
      <w:numFmt w:val="bullet"/>
      <w:lvlText w:val=""/>
      <w:lvlJc w:val="start"/>
      <w:pPr>
        <w:tabs>
          <w:tab w:val="num" w:pos="432"/>
        </w:tabs>
        <w:ind w:start="432" w:hanging="432"/>
      </w:pPr>
      <w:rPr>
        <w:rFonts w:ascii="Symbol" w:hAnsi="Symbol" w:cs="Symbol" w:hint="default"/>
      </w:rPr>
    </w:lvl>
  </w:abstractNum>
  <w:abstractNum w:abstractNumId="26">
    <w:lvl w:ilvl="0">
      <w:start w:val="1"/>
      <w:numFmt w:val="bullet"/>
      <w:lvlText w:val=""/>
      <w:lvlJc w:val="start"/>
      <w:pPr>
        <w:tabs>
          <w:tab w:val="num" w:pos="432"/>
        </w:tabs>
        <w:ind w:start="432" w:hanging="432"/>
      </w:pPr>
      <w:rPr>
        <w:rFonts w:ascii="Symbol" w:hAnsi="Symbol" w:cs="Symbol" w:hint="default"/>
      </w:rPr>
    </w:lvl>
  </w:abstractNum>
  <w:abstractNum w:abstractNumId="27">
    <w:lvl w:ilvl="0">
      <w:start w:val="1"/>
      <w:numFmt w:val="bullet"/>
      <w:lvlText w:val=""/>
      <w:lvlJc w:val="start"/>
      <w:pPr>
        <w:tabs>
          <w:tab w:val="num" w:pos="432"/>
        </w:tabs>
        <w:ind w:start="432" w:hanging="432"/>
      </w:pPr>
      <w:rPr>
        <w:rFonts w:ascii="Symbol" w:hAnsi="Symbol" w:cs="Symbol" w:hint="default"/>
      </w:rPr>
    </w:lvl>
  </w:abstractNum>
  <w:abstractNum w:abstractNumId="28">
    <w:lvl w:ilvl="0">
      <w:start w:val="1"/>
      <w:numFmt w:val="bullet"/>
      <w:lvlText w:val=""/>
      <w:lvlJc w:val="start"/>
      <w:pPr>
        <w:tabs>
          <w:tab w:val="num" w:pos="432"/>
        </w:tabs>
        <w:ind w:start="432" w:hanging="432"/>
      </w:pPr>
      <w:rPr>
        <w:rFonts w:ascii="Symbol" w:hAnsi="Symbol" w:cs="Symbol" w:hint="default"/>
      </w:rPr>
    </w:lvl>
  </w:abstractNum>
  <w:abstractNum w:abstractNumId="29">
    <w:lvl w:ilvl="0">
      <w:start w:val="1"/>
      <w:numFmt w:val="bullet"/>
      <w:lvlText w:val=""/>
      <w:lvlJc w:val="start"/>
      <w:pPr>
        <w:tabs>
          <w:tab w:val="num" w:pos="432"/>
        </w:tabs>
        <w:ind w:start="432" w:hanging="432"/>
      </w:pPr>
      <w:rPr>
        <w:rFonts w:ascii="Symbol" w:hAnsi="Symbol" w:cs="Symbol" w:hint="default"/>
      </w:rPr>
    </w:lvl>
  </w:abstractNum>
  <w:abstractNum w:abstractNumId="30">
    <w:lvl w:ilvl="0">
      <w:start w:val="1"/>
      <w:numFmt w:val="bullet"/>
      <w:lvlText w:val=""/>
      <w:lvlJc w:val="start"/>
      <w:pPr>
        <w:tabs>
          <w:tab w:val="num" w:pos="432"/>
        </w:tabs>
        <w:ind w:start="432" w:hanging="432"/>
      </w:pPr>
      <w:rPr>
        <w:rFonts w:ascii="Symbol" w:hAnsi="Symbol" w:cs="Symbol" w:hint="default"/>
      </w:rPr>
    </w:lvl>
  </w:abstractNum>
  <w:abstractNum w:abstractNumId="31">
    <w:lvl w:ilvl="0">
      <w:start w:val="1"/>
      <w:numFmt w:val="bullet"/>
      <w:lvlText w:val=""/>
      <w:lvlJc w:val="start"/>
      <w:pPr>
        <w:tabs>
          <w:tab w:val="num" w:pos="432"/>
        </w:tabs>
        <w:ind w:start="432" w:hanging="432"/>
      </w:pPr>
      <w:rPr>
        <w:rFonts w:ascii="Symbol" w:hAnsi="Symbol" w:cs="Symbol" w:hint="default"/>
      </w:rPr>
    </w:lvl>
  </w:abstractNum>
  <w:abstractNum w:abstractNumId="32">
    <w:lvl w:ilvl="0">
      <w:start w:val="1"/>
      <w:numFmt w:val="bullet"/>
      <w:lvlText w:val=""/>
      <w:lvlJc w:val="start"/>
      <w:pPr>
        <w:tabs>
          <w:tab w:val="num" w:pos="432"/>
        </w:tabs>
        <w:ind w:start="432" w:hanging="432"/>
      </w:pPr>
      <w:rPr>
        <w:rFonts w:ascii="Symbol" w:hAnsi="Symbol" w:cs="Symbol" w:hint="default"/>
      </w:rPr>
    </w:lvl>
  </w:abstractNum>
  <w:abstractNum w:abstractNumId="3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2001-05-14T15:34:00Z</dcterms:created>
  <dc:creator>jstrans</dc:creator>
  <dc:description/>
  <dc:language>en-CA</dc:language>
  <cp:lastModifiedBy>jstrans</cp:lastModifiedBy>
  <cp:lastPrinted>2001-05-17T17:07:00Z</cp:lastPrinted>
  <dcterms:modified xsi:type="dcterms:W3CDTF">2001-05-17T19:41:00Z</dcterms:modified>
  <cp:revision>16</cp:revision>
  <dc:subject/>
  <dc:title/>
</cp:coreProperties>
</file>