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rPr>
      </w:pPr>
      <w:r>
        <w:rPr>
          <w:b/>
          <w:bCs/>
          <w:sz w:val="32"/>
        </w:rPr>
        <w:t>Natural Gas Liberalization Summary</w:t>
      </w:r>
    </w:p>
    <w:p>
      <w:pPr>
        <w:pStyle w:val="Normal"/>
        <w:jc w:val="center"/>
        <w:rPr>
          <w:b/>
          <w:bCs/>
          <w:sz w:val="32"/>
        </w:rPr>
      </w:pPr>
      <w:r>
        <w:rPr>
          <w:b/>
          <w:bCs/>
          <w:sz w:val="32"/>
        </w:rPr>
      </w:r>
    </w:p>
    <w:p>
      <w:pPr>
        <w:pStyle w:val="Normal"/>
        <w:jc w:val="center"/>
        <w:rPr>
          <w:b/>
          <w:bCs/>
          <w:sz w:val="32"/>
        </w:rPr>
      </w:pPr>
      <w:r>
        <w:rPr>
          <w:b/>
          <w:bCs/>
          <w:sz w:val="32"/>
        </w:rPr>
      </w:r>
    </w:p>
    <w:p>
      <w:pPr>
        <w:pStyle w:val="Normal"/>
        <w:rPr>
          <w:b/>
          <w:bCs/>
          <w:sz w:val="26"/>
        </w:rPr>
      </w:pPr>
      <w:r>
        <w:rPr>
          <w:b/>
          <w:bCs/>
          <w:sz w:val="26"/>
        </w:rPr>
      </w:r>
    </w:p>
    <w:tbl>
      <w:tblPr>
        <w:tblW w:w="13176" w:type="dxa"/>
        <w:jc w:val="start"/>
        <w:tblInd w:w="0" w:type="dxa"/>
        <w:tblLayout w:type="fixed"/>
        <w:tblCellMar>
          <w:top w:w="0" w:type="dxa"/>
          <w:start w:w="108" w:type="dxa"/>
          <w:bottom w:w="0" w:type="dxa"/>
          <w:end w:w="108" w:type="dxa"/>
        </w:tblCellMar>
      </w:tblPr>
      <w:tblGrid>
        <w:gridCol w:w="2268"/>
        <w:gridCol w:w="3120"/>
        <w:gridCol w:w="2760"/>
        <w:gridCol w:w="2392"/>
        <w:gridCol w:w="2636"/>
      </w:tblGrid>
      <w:tr>
        <w:trPr/>
        <w:tc>
          <w:tcPr>
            <w:tcW w:w="2268"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sz w:val="26"/>
              </w:rPr>
            </w:pPr>
            <w:r>
              <w:rPr>
                <w:b/>
                <w:bCs/>
                <w:i/>
                <w:iCs/>
                <w:sz w:val="26"/>
              </w:rPr>
              <w:t>Status Summary</w:t>
            </w:r>
          </w:p>
        </w:tc>
        <w:tc>
          <w:tcPr>
            <w:tcW w:w="3120"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EU Directive not yet effective</w:t>
            </w:r>
          </w:p>
        </w:tc>
        <w:tc>
          <w:tcPr>
            <w:tcW w:w="2760"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Very limited competition in practice</w:t>
            </w:r>
          </w:p>
          <w:p>
            <w:pPr>
              <w:pStyle w:val="Normal"/>
              <w:rPr>
                <w:b/>
                <w:bCs/>
                <w:i/>
                <w:i/>
                <w:iCs/>
                <w:sz w:val="26"/>
              </w:rPr>
            </w:pPr>
            <w:r>
              <w:rPr>
                <w:b/>
                <w:bCs/>
                <w:i/>
                <w:iCs/>
                <w:sz w:val="26"/>
              </w:rPr>
            </w:r>
          </w:p>
        </w:tc>
        <w:tc>
          <w:tcPr>
            <w:tcW w:w="2392"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Some competition - on the way to full liberalization</w:t>
            </w:r>
          </w:p>
        </w:tc>
        <w:tc>
          <w:tcPr>
            <w:tcW w:w="2636"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Fully liberalized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Representative</w:t>
            </w:r>
          </w:p>
          <w:p>
            <w:pPr>
              <w:pStyle w:val="Normal"/>
              <w:rPr>
                <w:sz w:val="26"/>
              </w:rPr>
            </w:pPr>
            <w:r>
              <w:rPr>
                <w:sz w:val="26"/>
              </w:rPr>
              <w:t>Countries</w:t>
            </w:r>
          </w:p>
          <w:p>
            <w:pPr>
              <w:pStyle w:val="Normal"/>
              <w:rPr>
                <w:sz w:val="26"/>
              </w:rPr>
            </w:pPr>
            <w:r>
              <w:rPr>
                <w:sz w:val="26"/>
              </w:rPr>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Austria, Denmark,</w:t>
            </w:r>
          </w:p>
          <w:p>
            <w:pPr>
              <w:pStyle w:val="Normal"/>
              <w:rPr>
                <w:sz w:val="26"/>
              </w:rPr>
            </w:pPr>
            <w:r>
              <w:rPr>
                <w:sz w:val="26"/>
              </w:rPr>
              <w:t>France, Germany,</w:t>
            </w:r>
          </w:p>
          <w:p>
            <w:pPr>
              <w:pStyle w:val="Normal"/>
              <w:rPr>
                <w:sz w:val="26"/>
              </w:rPr>
            </w:pPr>
            <w:r>
              <w:rPr>
                <w:sz w:val="26"/>
              </w:rPr>
              <w:t>Greece, Norway,</w:t>
            </w:r>
          </w:p>
          <w:p>
            <w:pPr>
              <w:pStyle w:val="Normal"/>
              <w:rPr>
                <w:sz w:val="26"/>
              </w:rPr>
            </w:pPr>
            <w:r>
              <w:rPr>
                <w:sz w:val="26"/>
              </w:rPr>
              <w:t>Portugal, Poland,</w:t>
            </w:r>
          </w:p>
          <w:p>
            <w:pPr>
              <w:pStyle w:val="Normal"/>
              <w:rPr>
                <w:sz w:val="26"/>
              </w:rPr>
            </w:pPr>
            <w:r>
              <w:rPr>
                <w:sz w:val="26"/>
              </w:rPr>
              <w:t>Switzerland</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Belgium, Italy, Sweden,</w:t>
            </w:r>
          </w:p>
          <w:p>
            <w:pPr>
              <w:pStyle w:val="Normal"/>
              <w:rPr>
                <w:sz w:val="26"/>
              </w:rPr>
            </w:pPr>
            <w:r>
              <w:rPr>
                <w:sz w:val="26"/>
              </w:rPr>
              <w:t>UK (Northern Ireland)</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Finland, Spain,</w:t>
            </w:r>
          </w:p>
          <w:p>
            <w:pPr>
              <w:pStyle w:val="Normal"/>
              <w:rPr>
                <w:sz w:val="26"/>
              </w:rPr>
            </w:pPr>
            <w:r>
              <w:rPr>
                <w:sz w:val="26"/>
              </w:rPr>
              <w:t>Ireland, Netherlands</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 xml:space="preserve">UK </w:t>
            </w:r>
          </w:p>
          <w:p>
            <w:pPr>
              <w:pStyle w:val="Normal"/>
              <w:rPr>
                <w:sz w:val="26"/>
              </w:rPr>
            </w:pPr>
            <w:r>
              <w:rPr>
                <w:sz w:val="26"/>
              </w:rPr>
              <w:t>(not Northern Ireland)</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Market Structure</w:t>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Dominant producer and no trading</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Some production competition and trading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Competitive production and many traded markets</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High trading liquidity, many players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Transmission</w:t>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None or no third party access</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Negotiated or regulated third access and managerial unbundling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Regulated third party access and legal/full unbundling</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third party access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Distribution</w:t>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None</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Limited third party access unbundling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Regulated third party access and/or legal unbundling</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third party access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Supply</w:t>
            </w:r>
          </w:p>
          <w:p>
            <w:pPr>
              <w:pStyle w:val="Normal"/>
              <w:rPr>
                <w:sz w:val="26"/>
              </w:rPr>
            </w:pPr>
            <w:r>
              <w:rPr>
                <w:sz w:val="26"/>
              </w:rPr>
            </w:r>
          </w:p>
        </w:tc>
        <w:tc>
          <w:tcPr>
            <w:tcW w:w="312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Not open</w:t>
            </w:r>
          </w:p>
        </w:tc>
        <w:tc>
          <w:tcPr>
            <w:tcW w:w="276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Partly open</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Mostly open</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customer choice</w:t>
            </w:r>
          </w:p>
        </w:tc>
      </w:tr>
    </w:tbl>
    <w:p>
      <w:pPr>
        <w:pStyle w:val="Normal"/>
        <w:rPr>
          <w:b/>
          <w:bCs/>
          <w:sz w:val="26"/>
        </w:rPr>
      </w:pPr>
      <w:r>
        <w:rPr>
          <w:b/>
          <w:bCs/>
          <w:sz w:val="26"/>
        </w:rPr>
      </w:r>
    </w:p>
    <w:p>
      <w:pPr>
        <w:pStyle w:val="Normal"/>
        <w:jc w:val="center"/>
        <w:rPr>
          <w:b/>
          <w:bCs/>
          <w:sz w:val="32"/>
        </w:rPr>
      </w:pPr>
      <w:r>
        <w:rPr>
          <w:b/>
          <w:bCs/>
          <w:sz w:val="32"/>
        </w:rPr>
      </w:r>
      <w:r>
        <w:br w:type="page"/>
      </w:r>
    </w:p>
    <w:p>
      <w:pPr>
        <w:pStyle w:val="Normal"/>
        <w:jc w:val="center"/>
        <w:rPr>
          <w:b/>
          <w:bCs/>
          <w:sz w:val="32"/>
        </w:rPr>
      </w:pPr>
      <w:r>
        <w:rPr>
          <w:b/>
          <w:bCs/>
          <w:sz w:val="32"/>
        </w:rPr>
        <w:t>Pace of Natural Gas Liberalization</w:t>
      </w:r>
    </w:p>
    <w:p>
      <w:pPr>
        <w:pStyle w:val="Normal"/>
        <w:jc w:val="center"/>
        <w:rPr>
          <w:b/>
          <w:bCs/>
          <w:sz w:val="32"/>
        </w:rPr>
      </w:pPr>
      <w:r>
        <w:rPr>
          <w:b/>
          <w:bCs/>
          <w:sz w:val="32"/>
        </w:rPr>
      </w:r>
    </w:p>
    <w:p>
      <w:pPr>
        <w:pStyle w:val="Normal"/>
        <w:jc w:val="center"/>
        <w:rPr>
          <w:b/>
          <w:bCs/>
          <w:sz w:val="32"/>
        </w:rPr>
      </w:pPr>
      <w:r>
        <w:rPr>
          <w:b/>
          <w:bCs/>
          <w:sz w:val="32"/>
        </w:rPr>
      </w:r>
    </w:p>
    <w:tbl>
      <w:tblPr>
        <w:tblW w:w="12360" w:type="dxa"/>
        <w:jc w:val="start"/>
        <w:tblInd w:w="828" w:type="dxa"/>
        <w:tblLayout w:type="fixed"/>
        <w:tblCellMar>
          <w:top w:w="0" w:type="dxa"/>
          <w:start w:w="108" w:type="dxa"/>
          <w:bottom w:w="0" w:type="dxa"/>
          <w:end w:w="108" w:type="dxa"/>
        </w:tblCellMar>
      </w:tblPr>
      <w:tblGrid>
        <w:gridCol w:w="2160"/>
        <w:gridCol w:w="1920"/>
        <w:gridCol w:w="4680"/>
        <w:gridCol w:w="3600"/>
      </w:tblGrid>
      <w:tr>
        <w:trPr/>
        <w:tc>
          <w:tcPr>
            <w:tcW w:w="216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Country</w:t>
            </w:r>
          </w:p>
        </w:tc>
        <w:tc>
          <w:tcPr>
            <w:tcW w:w="192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Market Size*</w:t>
            </w:r>
          </w:p>
        </w:tc>
        <w:tc>
          <w:tcPr>
            <w:tcW w:w="468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Legal Current Market Opening (%)</w:t>
            </w:r>
          </w:p>
        </w:tc>
        <w:tc>
          <w:tcPr>
            <w:tcW w:w="3600" w:type="dxa"/>
            <w:tcBorders>
              <w:top w:val="single" w:sz="4" w:space="0" w:color="000000"/>
              <w:start w:val="single" w:sz="4" w:space="0" w:color="000000"/>
              <w:bottom w:val="single" w:sz="4" w:space="0" w:color="000000"/>
              <w:end w:val="single" w:sz="4" w:space="0" w:color="000000"/>
            </w:tcBorders>
          </w:tcPr>
          <w:p>
            <w:pPr>
              <w:pStyle w:val="BodyText2"/>
              <w:jc w:val="center"/>
              <w:rPr/>
            </w:pPr>
            <w:r>
              <w:rPr/>
              <w:t>Actual Market Opening</w:t>
            </w:r>
          </w:p>
          <w:p>
            <w:pPr>
              <w:pStyle w:val="BodyText2"/>
              <w:jc w:val="center"/>
              <w:rPr/>
            </w:pPr>
            <w:r>
              <w:rPr/>
              <w:t>(Enron Estimate)</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Austria</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2.01</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49%</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Belgium</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3.90</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57%</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Denmark</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1.24</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30%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Finland</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1.02</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90%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France</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9.54</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20% (subject to enactment of gas law)</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2%</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Germany</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22.78</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 xml:space="preserve">100% (subject to enactment of gas law) </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Greece</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0.37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Not yet decided</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Ireland</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0.88</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75%</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75%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Italy</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16.89</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96%</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Luxembourg</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0.18</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43%</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Netherlands</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12.07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45%</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30%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Portugal</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0.56</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Not yet decided</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Spain</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3.70</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50%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30%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Sweden</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0.22</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47%</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60"/>
              <w:rPr>
                <w:b w:val="false"/>
                <w:bCs w:val="false"/>
              </w:rPr>
            </w:pPr>
            <w:r>
              <w:rPr>
                <w:b w:val="false"/>
                <w:bCs w:val="false"/>
              </w:rPr>
              <w:t>UK (E,S,W)</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60"/>
              <w:rPr>
                <w:b w:val="false"/>
                <w:bCs w:val="false"/>
              </w:rPr>
            </w:pPr>
            <w:r>
              <w:rPr>
                <w:b w:val="false"/>
                <w:bCs w:val="false"/>
              </w:rPr>
              <w:tab/>
              <w:t>24.61</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100% (E,S,W)</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60"/>
              <w:jc w:val="center"/>
              <w:rPr>
                <w:b w:val="false"/>
                <w:bCs w:val="false"/>
              </w:rPr>
            </w:pPr>
            <w:r>
              <w:rPr>
                <w:b w:val="false"/>
                <w:bCs w:val="false"/>
              </w:rPr>
              <w:t>100%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napToGrid w:val="false"/>
              <w:rPr>
                <w:b w:val="false"/>
                <w:bCs w:val="false"/>
              </w:rPr>
            </w:pPr>
            <w:r>
              <w:rPr>
                <w:b w:val="false"/>
                <w:bCs w:val="false"/>
              </w:rPr>
            </w:r>
          </w:p>
          <w:p>
            <w:pPr>
              <w:pStyle w:val="BodyText2"/>
              <w:rPr/>
            </w:pPr>
            <w:r>
              <w:rPr/>
            </w:r>
          </w:p>
          <w:p>
            <w:pPr>
              <w:pStyle w:val="BodyText2"/>
              <w:rPr/>
            </w:pPr>
            <w:r>
              <w:rPr/>
              <w:t>TOTAL</w:t>
            </w:r>
          </w:p>
          <w:p>
            <w:pPr>
              <w:pStyle w:val="BodyText2"/>
              <w:rPr/>
            </w:pPr>
            <w:r>
              <w:rPr/>
            </w:r>
          </w:p>
        </w:tc>
        <w:tc>
          <w:tcPr>
            <w:tcW w:w="192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r>
          </w:p>
          <w:p>
            <w:pPr>
              <w:pStyle w:val="BodyText2"/>
              <w:jc w:val="center"/>
              <w:rPr/>
            </w:pPr>
            <w:r>
              <w:rPr/>
              <w:t>100%</w:t>
            </w:r>
          </w:p>
        </w:tc>
        <w:tc>
          <w:tcPr>
            <w:tcW w:w="468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r>
          </w:p>
          <w:p>
            <w:pPr>
              <w:pStyle w:val="BodyText2"/>
              <w:jc w:val="center"/>
              <w:rPr/>
            </w:pPr>
            <w:r>
              <w:rPr/>
              <w:t>Legal Market Opening 80%</w:t>
            </w:r>
          </w:p>
        </w:tc>
        <w:tc>
          <w:tcPr>
            <w:tcW w:w="3600" w:type="dxa"/>
            <w:tcBorders>
              <w:top w:val="single" w:sz="4" w:space="0" w:color="000000"/>
              <w:start w:val="single" w:sz="4" w:space="0" w:color="000000"/>
              <w:bottom w:val="single" w:sz="4" w:space="0" w:color="000000"/>
              <w:end w:val="single" w:sz="4" w:space="0" w:color="000000"/>
            </w:tcBorders>
          </w:tcPr>
          <w:p>
            <w:pPr>
              <w:pStyle w:val="BodyText2"/>
              <w:jc w:val="center"/>
              <w:rPr/>
            </w:pPr>
            <w:r>
              <w:rPr/>
              <w:t>Actual Opening 32%**</w:t>
            </w:r>
          </w:p>
          <w:p>
            <w:pPr>
              <w:pStyle w:val="BodyText2"/>
              <w:rPr/>
            </w:pPr>
            <w:r>
              <w:rPr/>
              <w:t>Legal &gt; actual due to pipeline access problem and non-transparent pipeline prices</w:t>
            </w:r>
          </w:p>
        </w:tc>
      </w:tr>
    </w:tbl>
    <w:p>
      <w:pPr>
        <w:pStyle w:val="BodyText2"/>
        <w:rPr>
          <w:b w:val="false"/>
          <w:bCs w:val="false"/>
        </w:rPr>
      </w:pPr>
      <w:r>
        <w:rPr>
          <w:b w:val="false"/>
          <w:bCs w:val="false"/>
        </w:rPr>
      </w:r>
    </w:p>
    <w:p>
      <w:pPr>
        <w:pStyle w:val="BodyText2"/>
        <w:tabs>
          <w:tab w:val="left" w:pos="720" w:leader="none"/>
          <w:tab w:val="left" w:pos="3600" w:leader="none"/>
        </w:tabs>
        <w:rPr>
          <w:b w:val="false"/>
          <w:bCs w:val="false"/>
        </w:rPr>
      </w:pPr>
      <w:r>
        <w:rPr>
          <w:b w:val="false"/>
          <w:bCs w:val="false"/>
        </w:rPr>
        <w:tab/>
        <w:t>* % of EU total power consumption based on 1999 IEA figures</w:t>
      </w:r>
    </w:p>
    <w:p>
      <w:pPr>
        <w:pStyle w:val="BodyText2"/>
        <w:tabs>
          <w:tab w:val="left" w:pos="720" w:leader="none"/>
          <w:tab w:val="left" w:pos="3600" w:leader="none"/>
        </w:tabs>
        <w:rPr>
          <w:b w:val="false"/>
          <w:bCs w:val="false"/>
        </w:rPr>
      </w:pPr>
      <w:r>
        <w:rPr>
          <w:b w:val="false"/>
          <w:bCs w:val="false"/>
        </w:rPr>
        <w:tab/>
        <w:t>**Weighted average based on market size</w:t>
      </w:r>
      <w:r>
        <w:br w:type="page"/>
      </w:r>
    </w:p>
    <w:p>
      <w:pPr>
        <w:pStyle w:val="Normal"/>
        <w:jc w:val="center"/>
        <w:rPr>
          <w:b/>
          <w:bCs/>
          <w:sz w:val="32"/>
        </w:rPr>
      </w:pPr>
      <w:r>
        <w:rPr>
          <w:b/>
          <w:bCs/>
          <w:sz w:val="32"/>
        </w:rPr>
        <w:t>Electricity Liberalization Summary</w:t>
        <w:br/>
      </w:r>
    </w:p>
    <w:p>
      <w:pPr>
        <w:pStyle w:val="Normal"/>
        <w:jc w:val="center"/>
        <w:rPr>
          <w:b/>
          <w:bCs/>
          <w:sz w:val="32"/>
        </w:rPr>
      </w:pPr>
      <w:r>
        <w:rPr>
          <w:b/>
          <w:bCs/>
          <w:sz w:val="32"/>
        </w:rPr>
      </w:r>
    </w:p>
    <w:p>
      <w:pPr>
        <w:pStyle w:val="Normal"/>
        <w:rPr>
          <w:b/>
          <w:bCs/>
          <w:sz w:val="28"/>
        </w:rPr>
      </w:pPr>
      <w:r>
        <w:rPr>
          <w:b/>
          <w:bCs/>
          <w:sz w:val="28"/>
        </w:rPr>
      </w:r>
    </w:p>
    <w:tbl>
      <w:tblPr>
        <w:tblW w:w="13176" w:type="dxa"/>
        <w:jc w:val="start"/>
        <w:tblInd w:w="0" w:type="dxa"/>
        <w:tblLayout w:type="fixed"/>
        <w:tblCellMar>
          <w:top w:w="0" w:type="dxa"/>
          <w:start w:w="108" w:type="dxa"/>
          <w:bottom w:w="0" w:type="dxa"/>
          <w:end w:w="108" w:type="dxa"/>
        </w:tblCellMar>
      </w:tblPr>
      <w:tblGrid>
        <w:gridCol w:w="2028"/>
        <w:gridCol w:w="2880"/>
        <w:gridCol w:w="3240"/>
        <w:gridCol w:w="2392"/>
        <w:gridCol w:w="2636"/>
      </w:tblGrid>
      <w:tr>
        <w:trPr/>
        <w:tc>
          <w:tcPr>
            <w:tcW w:w="2028"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Status Summary</w:t>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EU Directive not                yet effective</w:t>
            </w:r>
          </w:p>
        </w:tc>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Very limited competition      in practice</w:t>
            </w:r>
          </w:p>
          <w:p>
            <w:pPr>
              <w:pStyle w:val="Normal"/>
              <w:rPr>
                <w:b/>
                <w:bCs/>
                <w:i/>
                <w:i/>
                <w:iCs/>
                <w:sz w:val="26"/>
              </w:rPr>
            </w:pPr>
            <w:r>
              <w:rPr>
                <w:b/>
                <w:bCs/>
                <w:i/>
                <w:iCs/>
                <w:sz w:val="26"/>
              </w:rPr>
            </w:r>
          </w:p>
        </w:tc>
        <w:tc>
          <w:tcPr>
            <w:tcW w:w="2392"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Some competition - on the way to full liberalization</w:t>
            </w:r>
          </w:p>
        </w:tc>
        <w:tc>
          <w:tcPr>
            <w:tcW w:w="2636" w:type="dxa"/>
            <w:tcBorders>
              <w:top w:val="single" w:sz="4" w:space="0" w:color="000000"/>
              <w:start w:val="single" w:sz="4" w:space="0" w:color="000000"/>
              <w:bottom w:val="single" w:sz="4" w:space="0" w:color="000000"/>
              <w:end w:val="single" w:sz="4" w:space="0" w:color="000000"/>
            </w:tcBorders>
          </w:tcPr>
          <w:p>
            <w:pPr>
              <w:pStyle w:val="Normal"/>
              <w:snapToGrid w:val="false"/>
              <w:rPr>
                <w:b/>
                <w:bCs/>
                <w:i/>
                <w:i/>
                <w:iCs/>
                <w:sz w:val="26"/>
              </w:rPr>
            </w:pPr>
            <w:r>
              <w:rPr>
                <w:b/>
                <w:bCs/>
                <w:i/>
                <w:iCs/>
                <w:sz w:val="26"/>
              </w:rPr>
            </w:r>
          </w:p>
          <w:p>
            <w:pPr>
              <w:pStyle w:val="Normal"/>
              <w:rPr>
                <w:b/>
                <w:bCs/>
                <w:i/>
                <w:i/>
                <w:iCs/>
                <w:sz w:val="26"/>
              </w:rPr>
            </w:pPr>
            <w:r>
              <w:rPr>
                <w:b/>
                <w:bCs/>
                <w:i/>
                <w:iCs/>
                <w:sz w:val="26"/>
              </w:rPr>
              <w:t>Fully liberalized</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Representative</w:t>
            </w:r>
          </w:p>
          <w:p>
            <w:pPr>
              <w:pStyle w:val="Normal"/>
              <w:rPr>
                <w:sz w:val="26"/>
              </w:rPr>
            </w:pPr>
            <w:r>
              <w:rPr>
                <w:sz w:val="26"/>
              </w:rPr>
              <w:t>Countries</w:t>
            </w:r>
          </w:p>
          <w:p>
            <w:pPr>
              <w:pStyle w:val="Normal"/>
              <w:rPr>
                <w:sz w:val="26"/>
              </w:rPr>
            </w:pPr>
            <w:r>
              <w:rPr>
                <w:sz w:val="26"/>
              </w:rPr>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Greece,</w:t>
            </w:r>
          </w:p>
          <w:p>
            <w:pPr>
              <w:pStyle w:val="Normal"/>
              <w:rPr>
                <w:sz w:val="26"/>
              </w:rPr>
            </w:pPr>
            <w:r>
              <w:rPr>
                <w:sz w:val="26"/>
              </w:rPr>
              <w:t>Switzerland,</w:t>
              <w:br/>
              <w:t>Poland</w:t>
            </w:r>
          </w:p>
          <w:p>
            <w:pPr>
              <w:pStyle w:val="Normal"/>
              <w:rPr>
                <w:sz w:val="26"/>
              </w:rPr>
            </w:pPr>
            <w:r>
              <w:rPr>
                <w:sz w:val="26"/>
              </w:rPr>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Austria, Belgium,</w:t>
            </w:r>
          </w:p>
          <w:p>
            <w:pPr>
              <w:pStyle w:val="Normal"/>
              <w:rPr>
                <w:sz w:val="26"/>
              </w:rPr>
            </w:pPr>
            <w:r>
              <w:rPr>
                <w:sz w:val="26"/>
              </w:rPr>
              <w:t>France, Germany,</w:t>
            </w:r>
          </w:p>
          <w:p>
            <w:pPr>
              <w:pStyle w:val="Normal"/>
              <w:rPr>
                <w:sz w:val="26"/>
              </w:rPr>
            </w:pPr>
            <w:r>
              <w:rPr>
                <w:sz w:val="26"/>
              </w:rPr>
              <w:t>Ireland, Portugal</w:t>
            </w:r>
          </w:p>
          <w:p>
            <w:pPr>
              <w:pStyle w:val="Normal"/>
              <w:rPr>
                <w:sz w:val="26"/>
              </w:rPr>
            </w:pPr>
            <w:r>
              <w:rPr>
                <w:sz w:val="26"/>
              </w:rPr>
              <w:t>UK (Northern Ireland)</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Spain, Italy,</w:t>
            </w:r>
          </w:p>
          <w:p>
            <w:pPr>
              <w:pStyle w:val="Normal"/>
              <w:rPr>
                <w:sz w:val="26"/>
              </w:rPr>
            </w:pPr>
            <w:r>
              <w:rPr>
                <w:sz w:val="26"/>
              </w:rPr>
              <w:t>Netherlands, Denmark</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UK  (not No. Ireland),</w:t>
            </w:r>
          </w:p>
          <w:p>
            <w:pPr>
              <w:pStyle w:val="Normal"/>
              <w:rPr>
                <w:sz w:val="26"/>
              </w:rPr>
            </w:pPr>
            <w:r>
              <w:rPr>
                <w:sz w:val="26"/>
              </w:rPr>
              <w:t>Finland,</w:t>
            </w:r>
          </w:p>
          <w:p>
            <w:pPr>
              <w:pStyle w:val="Normal"/>
              <w:rPr>
                <w:sz w:val="26"/>
              </w:rPr>
            </w:pPr>
            <w:r>
              <w:rPr>
                <w:sz w:val="26"/>
              </w:rPr>
              <w:t>Norway</w:t>
            </w:r>
          </w:p>
          <w:p>
            <w:pPr>
              <w:pStyle w:val="Normal"/>
              <w:rPr>
                <w:sz w:val="26"/>
              </w:rPr>
            </w:pPr>
            <w:r>
              <w:rPr>
                <w:sz w:val="26"/>
              </w:rPr>
              <w:t>Sweden</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Market Structure</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Dominant producer and               no trading</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Some production competition and trading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Competitive production and many traded markets</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High trading liquidity, many players</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Transmission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None or no third party access</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Negotiated or regulated third access and managerial unbundling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Regulated third party access and legal/full unbundling</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third party access</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Distribution</w:t>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None</w:t>
            </w:r>
          </w:p>
        </w:tc>
        <w:tc>
          <w:tcPr>
            <w:tcW w:w="3240"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Limited third party access unbundling</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Regulated third party access and managerial unbundling</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third party access</w:t>
            </w:r>
          </w:p>
        </w:tc>
      </w:tr>
      <w:tr>
        <w:trPr/>
        <w:tc>
          <w:tcPr>
            <w:tcW w:w="2028"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6"/>
              </w:rPr>
            </w:pPr>
            <w:r>
              <w:rPr>
                <w:sz w:val="26"/>
              </w:rPr>
              <w:t>Supply</w:t>
            </w:r>
          </w:p>
          <w:p>
            <w:pPr>
              <w:pStyle w:val="Normal"/>
              <w:spacing w:lineRule="exact" w:line="360"/>
              <w:rPr>
                <w:sz w:val="26"/>
              </w:rPr>
            </w:pPr>
            <w:r>
              <w:rPr>
                <w:sz w:val="26"/>
              </w:rPr>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6"/>
              </w:rPr>
            </w:pPr>
            <w:r>
              <w:rPr>
                <w:sz w:val="26"/>
              </w:rPr>
              <w:t>Not open</w:t>
            </w:r>
          </w:p>
        </w:tc>
        <w:tc>
          <w:tcPr>
            <w:tcW w:w="3240" w:type="dxa"/>
            <w:tcBorders>
              <w:top w:val="single" w:sz="4" w:space="0" w:color="000000"/>
              <w:start w:val="single" w:sz="4" w:space="0" w:color="000000"/>
              <w:bottom w:val="single" w:sz="4" w:space="0" w:color="000000"/>
              <w:end w:val="single" w:sz="4" w:space="0" w:color="000000"/>
            </w:tcBorders>
          </w:tcPr>
          <w:p>
            <w:pPr>
              <w:pStyle w:val="Normal"/>
              <w:spacing w:lineRule="exact" w:line="360"/>
              <w:rPr>
                <w:sz w:val="26"/>
              </w:rPr>
            </w:pPr>
            <w:r>
              <w:rPr>
                <w:sz w:val="26"/>
              </w:rPr>
              <w:t>Partly open</w:t>
            </w:r>
          </w:p>
        </w:tc>
        <w:tc>
          <w:tcPr>
            <w:tcW w:w="2392"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Mostly open</w:t>
            </w:r>
          </w:p>
        </w:tc>
        <w:tc>
          <w:tcPr>
            <w:tcW w:w="2636" w:type="dxa"/>
            <w:tcBorders>
              <w:top w:val="single" w:sz="4" w:space="0" w:color="000000"/>
              <w:start w:val="single" w:sz="4" w:space="0" w:color="000000"/>
              <w:bottom w:val="single" w:sz="4" w:space="0" w:color="000000"/>
              <w:end w:val="single" w:sz="4" w:space="0" w:color="000000"/>
            </w:tcBorders>
          </w:tcPr>
          <w:p>
            <w:pPr>
              <w:pStyle w:val="Normal"/>
              <w:rPr>
                <w:sz w:val="26"/>
              </w:rPr>
            </w:pPr>
            <w:r>
              <w:rPr>
                <w:sz w:val="26"/>
              </w:rPr>
              <w:t>Full customer choice</w:t>
            </w:r>
          </w:p>
        </w:tc>
      </w:tr>
    </w:tbl>
    <w:p>
      <w:pPr>
        <w:pStyle w:val="Normal"/>
        <w:rPr>
          <w:sz w:val="28"/>
        </w:rPr>
      </w:pPr>
      <w:r>
        <w:rPr>
          <w:sz w:val="28"/>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r>
    </w:p>
    <w:p>
      <w:pPr>
        <w:pStyle w:val="Normal"/>
        <w:jc w:val="center"/>
        <w:rPr>
          <w:b/>
          <w:bCs/>
          <w:sz w:val="32"/>
        </w:rPr>
      </w:pPr>
      <w:r>
        <w:rPr>
          <w:b/>
          <w:bCs/>
          <w:sz w:val="32"/>
        </w:rPr>
        <w:t>Pace of Electricity Liberalization</w:t>
      </w:r>
    </w:p>
    <w:p>
      <w:pPr>
        <w:pStyle w:val="Normal"/>
        <w:jc w:val="center"/>
        <w:rPr>
          <w:b/>
          <w:bCs/>
          <w:sz w:val="32"/>
        </w:rPr>
      </w:pPr>
      <w:r>
        <w:rPr>
          <w:b/>
          <w:bCs/>
          <w:sz w:val="32"/>
        </w:rPr>
      </w:r>
    </w:p>
    <w:p>
      <w:pPr>
        <w:pStyle w:val="Normal"/>
        <w:rPr>
          <w:b/>
          <w:bCs/>
          <w:sz w:val="26"/>
        </w:rPr>
      </w:pPr>
      <w:r>
        <w:rPr>
          <w:b/>
          <w:bCs/>
          <w:sz w:val="26"/>
        </w:rPr>
      </w:r>
    </w:p>
    <w:tbl>
      <w:tblPr>
        <w:tblW w:w="12360" w:type="dxa"/>
        <w:jc w:val="start"/>
        <w:tblInd w:w="828" w:type="dxa"/>
        <w:tblLayout w:type="fixed"/>
        <w:tblCellMar>
          <w:top w:w="0" w:type="dxa"/>
          <w:start w:w="108" w:type="dxa"/>
          <w:bottom w:w="0" w:type="dxa"/>
          <w:end w:w="108" w:type="dxa"/>
        </w:tblCellMar>
      </w:tblPr>
      <w:tblGrid>
        <w:gridCol w:w="2160"/>
        <w:gridCol w:w="1920"/>
        <w:gridCol w:w="4680"/>
        <w:gridCol w:w="3600"/>
      </w:tblGrid>
      <w:tr>
        <w:trPr/>
        <w:tc>
          <w:tcPr>
            <w:tcW w:w="216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Country</w:t>
            </w:r>
          </w:p>
        </w:tc>
        <w:tc>
          <w:tcPr>
            <w:tcW w:w="192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Market Size*</w:t>
            </w:r>
          </w:p>
        </w:tc>
        <w:tc>
          <w:tcPr>
            <w:tcW w:w="4680" w:type="dxa"/>
            <w:tcBorders>
              <w:top w:val="single" w:sz="4" w:space="0" w:color="000000"/>
              <w:start w:val="single" w:sz="4" w:space="0" w:color="000000"/>
              <w:bottom w:val="single" w:sz="4" w:space="0" w:color="000000"/>
              <w:end w:val="single" w:sz="4" w:space="0" w:color="000000"/>
            </w:tcBorders>
          </w:tcPr>
          <w:p>
            <w:pPr>
              <w:pStyle w:val="BodyText2"/>
              <w:snapToGrid w:val="false"/>
              <w:jc w:val="center"/>
              <w:rPr/>
            </w:pPr>
            <w:r>
              <w:rPr/>
            </w:r>
          </w:p>
          <w:p>
            <w:pPr>
              <w:pStyle w:val="BodyText2"/>
              <w:jc w:val="center"/>
              <w:rPr/>
            </w:pPr>
            <w:r>
              <w:rPr/>
              <w:t>Legal Current Market Opening (%)</w:t>
            </w:r>
          </w:p>
        </w:tc>
        <w:tc>
          <w:tcPr>
            <w:tcW w:w="3600" w:type="dxa"/>
            <w:tcBorders>
              <w:top w:val="single" w:sz="4" w:space="0" w:color="000000"/>
              <w:start w:val="single" w:sz="4" w:space="0" w:color="000000"/>
              <w:bottom w:val="single" w:sz="4" w:space="0" w:color="000000"/>
              <w:end w:val="single" w:sz="4" w:space="0" w:color="000000"/>
            </w:tcBorders>
          </w:tcPr>
          <w:p>
            <w:pPr>
              <w:pStyle w:val="BodyText2"/>
              <w:jc w:val="center"/>
              <w:rPr/>
            </w:pPr>
            <w:r>
              <w:rPr/>
              <w:t>Actual Market Opening</w:t>
            </w:r>
          </w:p>
          <w:p>
            <w:pPr>
              <w:pStyle w:val="BodyText2"/>
              <w:jc w:val="center"/>
              <w:rPr/>
            </w:pPr>
            <w:r>
              <w:rPr/>
              <w:t>(Enron Estimate)</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Austria</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2.37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27%</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Belgium</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3.42</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35%</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Denmark</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1.46</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90%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90%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Finland</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3.25</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France</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18.08</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30%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Germany</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21.43</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Greece</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1.92</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28%</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Ireland</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0.87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28%</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Italy</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12.32</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30%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Luxembourg</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0.27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45%</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Netherlands</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4.17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33%</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33%</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Portugal</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1.43</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34%</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5%</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Spain</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8.18</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46%</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46%</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Sweden</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5.97</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b w:val="false"/>
                <w:bCs w:val="false"/>
              </w:rPr>
            </w:pPr>
            <w:r>
              <w:rPr>
                <w:b w:val="false"/>
                <w:bCs w:val="false"/>
              </w:rPr>
              <w:t>UK (E,S,W)</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rPr>
                <w:b w:val="false"/>
                <w:bCs w:val="false"/>
              </w:rPr>
            </w:pPr>
            <w:r>
              <w:rPr>
                <w:b w:val="false"/>
                <w:bCs w:val="false"/>
              </w:rPr>
              <w:tab/>
              <w:t>14.86</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100%</w:t>
            </w:r>
          </w:p>
        </w:tc>
        <w:tc>
          <w:tcPr>
            <w:tcW w:w="360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b w:val="false"/>
                <w:bCs w:val="false"/>
              </w:rPr>
            </w:pPr>
            <w:r>
              <w:rPr>
                <w:b w:val="false"/>
                <w:bCs w:val="false"/>
              </w:rPr>
              <w:t>100%</w:t>
            </w:r>
          </w:p>
        </w:tc>
      </w:tr>
      <w:tr>
        <w:trPr/>
        <w:tc>
          <w:tcPr>
            <w:tcW w:w="2160" w:type="dxa"/>
            <w:tcBorders>
              <w:top w:val="single" w:sz="4" w:space="0" w:color="000000"/>
              <w:start w:val="single" w:sz="4" w:space="0" w:color="000000"/>
              <w:bottom w:val="single" w:sz="4" w:space="0" w:color="000000"/>
              <w:end w:val="single" w:sz="4" w:space="0" w:color="000000"/>
            </w:tcBorders>
          </w:tcPr>
          <w:p>
            <w:pPr>
              <w:pStyle w:val="BodyText2"/>
              <w:spacing w:lineRule="exact" w:line="380"/>
              <w:rPr/>
            </w:pPr>
            <w:r>
              <w:rPr/>
              <w:t>TOTAL</w:t>
            </w:r>
          </w:p>
        </w:tc>
        <w:tc>
          <w:tcPr>
            <w:tcW w:w="1920" w:type="dxa"/>
            <w:tcBorders>
              <w:top w:val="single" w:sz="4" w:space="0" w:color="000000"/>
              <w:start w:val="single" w:sz="4" w:space="0" w:color="000000"/>
              <w:bottom w:val="single" w:sz="4" w:space="0" w:color="000000"/>
              <w:end w:val="single" w:sz="4" w:space="0" w:color="000000"/>
            </w:tcBorders>
          </w:tcPr>
          <w:p>
            <w:pPr>
              <w:pStyle w:val="BodyText2"/>
              <w:tabs>
                <w:tab w:val="decimal" w:pos="732" w:leader="none"/>
                <w:tab w:val="left" w:pos="3600" w:leader="none"/>
              </w:tabs>
              <w:spacing w:lineRule="exact" w:line="380"/>
              <w:jc w:val="center"/>
              <w:rPr/>
            </w:pPr>
            <w:r>
              <w:rPr/>
              <w:t>100</w:t>
            </w:r>
          </w:p>
        </w:tc>
        <w:tc>
          <w:tcPr>
            <w:tcW w:w="4680" w:type="dxa"/>
            <w:tcBorders>
              <w:top w:val="single" w:sz="4" w:space="0" w:color="000000"/>
              <w:start w:val="single" w:sz="4" w:space="0" w:color="000000"/>
              <w:bottom w:val="single" w:sz="4" w:space="0" w:color="000000"/>
              <w:end w:val="single" w:sz="4" w:space="0" w:color="000000"/>
            </w:tcBorders>
          </w:tcPr>
          <w:p>
            <w:pPr>
              <w:pStyle w:val="BodyText2"/>
              <w:spacing w:lineRule="exact" w:line="380"/>
              <w:jc w:val="center"/>
              <w:rPr/>
            </w:pPr>
            <w:r>
              <w:rPr/>
              <w:t>Market Opening 61%</w:t>
            </w:r>
          </w:p>
        </w:tc>
        <w:tc>
          <w:tcPr>
            <w:tcW w:w="3600" w:type="dxa"/>
            <w:tcBorders>
              <w:top w:val="single" w:sz="4" w:space="0" w:color="000000"/>
              <w:start w:val="single" w:sz="4" w:space="0" w:color="000000"/>
              <w:bottom w:val="single" w:sz="4" w:space="0" w:color="000000"/>
              <w:end w:val="single" w:sz="4" w:space="0" w:color="000000"/>
            </w:tcBorders>
          </w:tcPr>
          <w:p>
            <w:pPr>
              <w:pStyle w:val="BodyText2"/>
              <w:jc w:val="center"/>
              <w:rPr/>
            </w:pPr>
            <w:r>
              <w:rPr/>
              <w:t>Actual Opening 33%</w:t>
            </w:r>
          </w:p>
          <w:p>
            <w:pPr>
              <w:pStyle w:val="BodyText2"/>
              <w:jc w:val="center"/>
              <w:rPr/>
            </w:pPr>
            <w:r>
              <w:rPr/>
              <w:t>(Legal &gt; actual due to access + pricing problems)</w:t>
            </w:r>
          </w:p>
        </w:tc>
      </w:tr>
    </w:tbl>
    <w:p>
      <w:pPr>
        <w:pStyle w:val="Normal"/>
        <w:rPr>
          <w:b/>
          <w:bCs/>
          <w:sz w:val="26"/>
        </w:rPr>
      </w:pPr>
      <w:r>
        <w:rPr>
          <w:b/>
          <w:bCs/>
          <w:sz w:val="26"/>
        </w:rPr>
      </w:r>
    </w:p>
    <w:p>
      <w:pPr>
        <w:pStyle w:val="Normal"/>
        <w:tabs>
          <w:tab w:val="left" w:pos="720" w:leader="none"/>
          <w:tab w:val="decimal" w:pos="960" w:leader="none"/>
        </w:tabs>
        <w:rPr>
          <w:sz w:val="26"/>
        </w:rPr>
      </w:pPr>
      <w:r>
        <w:rPr>
          <w:sz w:val="26"/>
        </w:rPr>
        <w:tab/>
        <w:t>* % of EU total power consumption based on 1999 EIA figures</w:t>
      </w:r>
    </w:p>
    <w:p>
      <w:pPr>
        <w:pStyle w:val="Normal"/>
        <w:tabs>
          <w:tab w:val="left" w:pos="720" w:leader="none"/>
          <w:tab w:val="decimal" w:pos="960" w:leader="none"/>
        </w:tabs>
        <w:rPr>
          <w:b/>
          <w:bCs/>
          <w:sz w:val="32"/>
        </w:rPr>
      </w:pPr>
      <w:r>
        <w:rPr>
          <w:sz w:val="26"/>
        </w:rPr>
        <w:tab/>
        <w:t>** Weighted average based on market size</w:t>
      </w:r>
      <w:r>
        <w:br w:type="page"/>
      </w:r>
    </w:p>
    <w:p>
      <w:pPr>
        <w:pStyle w:val="Normal"/>
        <w:jc w:val="center"/>
        <w:rPr>
          <w:b/>
          <w:bCs/>
          <w:sz w:val="32"/>
        </w:rPr>
      </w:pPr>
      <w:r>
        <w:rPr>
          <w:b/>
          <w:bCs/>
          <w:sz w:val="32"/>
        </w:rPr>
        <w:t>Positive Liberalization Developments</w:t>
      </w:r>
    </w:p>
    <w:p>
      <w:pPr>
        <w:pStyle w:val="Normal"/>
        <w:jc w:val="center"/>
        <w:rPr>
          <w:b/>
          <w:bCs/>
          <w:sz w:val="32"/>
        </w:rPr>
      </w:pPr>
      <w:r>
        <w:rPr>
          <w:b/>
          <w:bCs/>
          <w:sz w:val="32"/>
        </w:rPr>
      </w:r>
    </w:p>
    <w:p>
      <w:pPr>
        <w:pStyle w:val="Normal"/>
        <w:numPr>
          <w:ilvl w:val="0"/>
          <w:numId w:val="8"/>
        </w:numPr>
        <w:spacing w:lineRule="auto" w:line="360"/>
        <w:rPr>
          <w:b/>
          <w:bCs/>
          <w:sz w:val="26"/>
        </w:rPr>
      </w:pPr>
      <w:r>
        <w:rPr>
          <w:b/>
          <w:bCs/>
          <w:sz w:val="26"/>
        </w:rPr>
        <w:t>Faster than expected change in some countries</w:t>
      </w:r>
    </w:p>
    <w:p>
      <w:pPr>
        <w:pStyle w:val="Normal"/>
        <w:tabs>
          <w:tab w:val="left" w:pos="720" w:leader="none"/>
          <w:tab w:val="left" w:pos="1440" w:leader="none"/>
        </w:tabs>
        <w:rPr>
          <w:b/>
          <w:bCs/>
          <w:sz w:val="26"/>
        </w:rPr>
      </w:pPr>
      <w:r>
        <w:rPr>
          <w:b/>
          <w:bCs/>
          <w:sz w:val="26"/>
        </w:rPr>
        <w:tab/>
        <w:t>-</w:t>
        <w:tab/>
      </w:r>
      <w:r>
        <w:rPr>
          <w:sz w:val="26"/>
        </w:rPr>
        <w:t>Germany passed a single law opening 100% of the power market (but only 10% open in practice)</w:t>
      </w:r>
    </w:p>
    <w:p>
      <w:pPr>
        <w:pStyle w:val="Normal"/>
        <w:tabs>
          <w:tab w:val="left" w:pos="720" w:leader="none"/>
          <w:tab w:val="left" w:pos="1440" w:leader="none"/>
        </w:tabs>
        <w:rPr/>
      </w:pPr>
      <w:r>
        <w:rPr>
          <w:b/>
          <w:bCs/>
          <w:sz w:val="26"/>
        </w:rPr>
        <w:tab/>
        <w:t>-</w:t>
        <w:tab/>
      </w:r>
      <w:r>
        <w:rPr>
          <w:sz w:val="26"/>
        </w:rPr>
        <w:t xml:space="preserve">Gas capacity release in Spain </w:t>
      </w:r>
    </w:p>
    <w:p>
      <w:pPr>
        <w:pStyle w:val="BodyText"/>
        <w:rPr>
          <w:sz w:val="26"/>
        </w:rPr>
      </w:pPr>
      <w:r>
        <w:rPr>
          <w:sz w:val="26"/>
        </w:rPr>
        <w:tab/>
        <w:t>-</w:t>
        <w:tab/>
        <w:t>Countries accelerating liberalization, e.g., Netherlands</w:t>
        <w:br/>
      </w:r>
    </w:p>
    <w:p>
      <w:pPr>
        <w:pStyle w:val="Normal"/>
        <w:numPr>
          <w:ilvl w:val="0"/>
          <w:numId w:val="8"/>
        </w:numPr>
        <w:tabs>
          <w:tab w:val="left" w:pos="720" w:leader="none"/>
          <w:tab w:val="left" w:pos="1440" w:leader="none"/>
        </w:tabs>
        <w:rPr>
          <w:b/>
          <w:bCs/>
          <w:sz w:val="26"/>
        </w:rPr>
      </w:pPr>
      <w:r>
        <w:rPr>
          <w:b/>
          <w:bCs/>
          <w:sz w:val="26"/>
        </w:rPr>
        <w:t>Development of trading market</w:t>
      </w:r>
    </w:p>
    <w:p>
      <w:pPr>
        <w:pStyle w:val="Normal"/>
        <w:tabs>
          <w:tab w:val="left" w:pos="720" w:leader="none"/>
          <w:tab w:val="left" w:pos="1440" w:leader="none"/>
        </w:tabs>
        <w:rPr>
          <w:b/>
          <w:bCs/>
          <w:sz w:val="26"/>
        </w:rPr>
      </w:pPr>
      <w:r>
        <w:rPr>
          <w:b/>
          <w:bCs/>
          <w:sz w:val="26"/>
        </w:rPr>
      </w:r>
    </w:p>
    <w:p>
      <w:pPr>
        <w:pStyle w:val="Normal"/>
        <w:tabs>
          <w:tab w:val="left" w:pos="720" w:leader="none"/>
          <w:tab w:val="left" w:pos="1440" w:leader="none"/>
        </w:tabs>
        <w:rPr>
          <w:sz w:val="26"/>
        </w:rPr>
      </w:pPr>
      <w:r>
        <w:rPr>
          <w:sz w:val="26"/>
        </w:rPr>
        <w:tab/>
        <w:t>-</w:t>
        <w:tab/>
        <w:t xml:space="preserve">EEX (European Energy Exchange), LPX (Leipzig Power Exchange), APX (Amsterdam Power Exchange), </w:t>
      </w:r>
    </w:p>
    <w:p>
      <w:pPr>
        <w:pStyle w:val="BodyText3"/>
        <w:rPr/>
      </w:pPr>
      <w:r>
        <w:rPr/>
        <w:tab/>
        <w:tab/>
        <w:t xml:space="preserve">Nordpool, UKPX </w:t>
        <w:br/>
      </w:r>
    </w:p>
    <w:p>
      <w:pPr>
        <w:pStyle w:val="Normal"/>
        <w:numPr>
          <w:ilvl w:val="0"/>
          <w:numId w:val="8"/>
        </w:numPr>
        <w:tabs>
          <w:tab w:val="left" w:pos="720" w:leader="none"/>
          <w:tab w:val="left" w:pos="1440" w:leader="none"/>
        </w:tabs>
        <w:spacing w:lineRule="auto" w:line="360"/>
        <w:rPr>
          <w:b/>
          <w:bCs/>
          <w:sz w:val="26"/>
        </w:rPr>
      </w:pPr>
      <w:r>
        <w:rPr>
          <w:b/>
          <w:bCs/>
          <w:sz w:val="26"/>
        </w:rPr>
        <w:t>Role of EFET (European Federation of Energy Traders)</w:t>
      </w:r>
    </w:p>
    <w:p>
      <w:pPr>
        <w:pStyle w:val="Normal"/>
        <w:tabs>
          <w:tab w:val="left" w:pos="720" w:leader="none"/>
          <w:tab w:val="left" w:pos="1440" w:leader="none"/>
        </w:tabs>
        <w:rPr/>
      </w:pPr>
      <w:r>
        <w:rPr>
          <w:b/>
          <w:bCs/>
          <w:sz w:val="26"/>
        </w:rPr>
        <w:tab/>
        <w:t>-</w:t>
        <w:tab/>
      </w:r>
      <w:r>
        <w:rPr>
          <w:sz w:val="26"/>
        </w:rPr>
        <w:t>Forum to debate liberalization issues; has developed master trading agreements used in Europe</w:t>
      </w:r>
    </w:p>
    <w:p>
      <w:pPr>
        <w:pStyle w:val="Normal"/>
        <w:tabs>
          <w:tab w:val="left" w:pos="720" w:leader="none"/>
          <w:tab w:val="left" w:pos="1440" w:leader="none"/>
        </w:tabs>
        <w:rPr>
          <w:sz w:val="26"/>
        </w:rPr>
      </w:pPr>
      <w:r>
        <w:rPr>
          <w:sz w:val="26"/>
        </w:rPr>
      </w:r>
    </w:p>
    <w:p>
      <w:pPr>
        <w:pStyle w:val="Normal"/>
        <w:numPr>
          <w:ilvl w:val="0"/>
          <w:numId w:val="8"/>
        </w:numPr>
        <w:tabs>
          <w:tab w:val="left" w:pos="720" w:leader="none"/>
          <w:tab w:val="left" w:pos="1440" w:leader="none"/>
        </w:tabs>
        <w:spacing w:lineRule="auto" w:line="360"/>
        <w:rPr>
          <w:b/>
          <w:bCs/>
          <w:sz w:val="26"/>
        </w:rPr>
      </w:pPr>
      <w:r>
        <w:rPr>
          <w:b/>
          <w:bCs/>
          <w:sz w:val="26"/>
        </w:rPr>
        <w:t>Florence and Madrid processes</w:t>
      </w:r>
    </w:p>
    <w:p>
      <w:pPr>
        <w:pStyle w:val="Normal"/>
        <w:tabs>
          <w:tab w:val="left" w:pos="720" w:leader="none"/>
          <w:tab w:val="left" w:pos="1440" w:leader="none"/>
        </w:tabs>
        <w:rPr>
          <w:sz w:val="26"/>
        </w:rPr>
      </w:pPr>
      <w:r>
        <w:rPr>
          <w:sz w:val="26"/>
        </w:rPr>
        <w:tab/>
        <w:t>-</w:t>
        <w:tab/>
        <w:t xml:space="preserve">A consistent regulatory approach has been facilitated throughout the EU member states at Florence (for </w:t>
      </w:r>
    </w:p>
    <w:p>
      <w:pPr>
        <w:pStyle w:val="Normal"/>
        <w:tabs>
          <w:tab w:val="left" w:pos="720" w:leader="none"/>
          <w:tab w:val="left" w:pos="1440" w:leader="none"/>
        </w:tabs>
        <w:rPr>
          <w:sz w:val="26"/>
        </w:rPr>
      </w:pPr>
      <w:r>
        <w:rPr>
          <w:sz w:val="26"/>
        </w:rPr>
        <w:tab/>
        <w:tab/>
        <w:t xml:space="preserve">electricity) and Madrid (for gas) in the absence of regulatory powers for the Commission, in the absence of an </w:t>
      </w:r>
    </w:p>
    <w:p>
      <w:pPr>
        <w:pStyle w:val="Normal"/>
        <w:tabs>
          <w:tab w:val="left" w:pos="720" w:leader="none"/>
          <w:tab w:val="left" w:pos="1440" w:leader="none"/>
        </w:tabs>
        <w:ind w:start="1080" w:end="0"/>
        <w:rPr>
          <w:b/>
          <w:bCs/>
          <w:sz w:val="26"/>
        </w:rPr>
      </w:pPr>
      <w:r>
        <w:rPr>
          <w:sz w:val="26"/>
        </w:rPr>
        <w:tab/>
        <w:t xml:space="preserve">Euro-regulator, and in substitution for "cross border" wholesale market rules in the energy directives  </w:t>
      </w:r>
    </w:p>
    <w:p>
      <w:pPr>
        <w:pStyle w:val="Normal"/>
        <w:tabs>
          <w:tab w:val="left" w:pos="720" w:leader="none"/>
          <w:tab w:val="left" w:pos="1440" w:leader="none"/>
        </w:tabs>
        <w:rPr>
          <w:b/>
          <w:bCs/>
          <w:sz w:val="26"/>
        </w:rPr>
      </w:pPr>
      <w:r>
        <w:rPr>
          <w:b/>
          <w:bCs/>
          <w:sz w:val="26"/>
        </w:rPr>
      </w:r>
    </w:p>
    <w:p>
      <w:pPr>
        <w:pStyle w:val="Normal"/>
        <w:numPr>
          <w:ilvl w:val="0"/>
          <w:numId w:val="8"/>
        </w:numPr>
        <w:tabs>
          <w:tab w:val="left" w:pos="720" w:leader="none"/>
          <w:tab w:val="left" w:pos="1440" w:leader="none"/>
        </w:tabs>
        <w:spacing w:lineRule="auto" w:line="360"/>
        <w:rPr>
          <w:b/>
          <w:bCs/>
          <w:sz w:val="26"/>
        </w:rPr>
      </w:pPr>
      <w:r>
        <w:rPr>
          <w:b/>
          <w:bCs/>
          <w:sz w:val="26"/>
        </w:rPr>
        <w:t>Number of countries adopting independent regulators (especially for gas)</w:t>
      </w:r>
    </w:p>
    <w:p>
      <w:pPr>
        <w:pStyle w:val="Normal"/>
        <w:tabs>
          <w:tab w:val="left" w:pos="720" w:leader="none"/>
          <w:tab w:val="left" w:pos="1440" w:leader="none"/>
        </w:tabs>
        <w:rPr/>
      </w:pPr>
      <w:r>
        <w:rPr>
          <w:b/>
          <w:bCs/>
          <w:sz w:val="26"/>
        </w:rPr>
        <w:tab/>
        <w:t>-</w:t>
        <w:tab/>
      </w:r>
      <w:r>
        <w:rPr>
          <w:sz w:val="26"/>
        </w:rPr>
        <w:t>Most countries have now adopted independent regulators, with the notable exception of Germany,</w:t>
      </w:r>
    </w:p>
    <w:p>
      <w:pPr>
        <w:pStyle w:val="Normal"/>
        <w:tabs>
          <w:tab w:val="left" w:pos="720" w:leader="none"/>
          <w:tab w:val="left" w:pos="1440" w:leader="none"/>
        </w:tabs>
        <w:rPr>
          <w:sz w:val="26"/>
        </w:rPr>
      </w:pPr>
      <w:r>
        <w:rPr>
          <w:sz w:val="26"/>
        </w:rPr>
        <w:tab/>
        <w:tab/>
        <w:t>where the competition authority may turn out to be busier than they intended</w:t>
        <w:br/>
      </w:r>
    </w:p>
    <w:p>
      <w:pPr>
        <w:pStyle w:val="Normal"/>
        <w:numPr>
          <w:ilvl w:val="0"/>
          <w:numId w:val="8"/>
        </w:numPr>
        <w:tabs>
          <w:tab w:val="left" w:pos="720" w:leader="none"/>
          <w:tab w:val="left" w:pos="1440" w:leader="none"/>
        </w:tabs>
        <w:rPr>
          <w:b/>
          <w:bCs/>
          <w:sz w:val="26"/>
        </w:rPr>
      </w:pPr>
      <w:r>
        <w:rPr>
          <w:b/>
          <w:bCs/>
          <w:sz w:val="26"/>
        </w:rPr>
        <w:t>New energy directive</w:t>
      </w:r>
    </w:p>
    <w:p>
      <w:pPr>
        <w:pStyle w:val="Normal"/>
        <w:tabs>
          <w:tab w:val="left" w:pos="720" w:leader="none"/>
          <w:tab w:val="left" w:pos="1440" w:leader="none"/>
        </w:tabs>
        <w:rPr>
          <w:sz w:val="26"/>
        </w:rPr>
      </w:pPr>
      <w:r>
        <w:rPr>
          <w:sz w:val="26"/>
        </w:rPr>
        <w:tab/>
        <w:t>-</w:t>
        <w:tab/>
        <w:t>Work is in progress on a new directive amending and strengthening the existing energy directives</w:t>
      </w:r>
    </w:p>
    <w:p>
      <w:pPr>
        <w:pStyle w:val="Normal"/>
        <w:tabs>
          <w:tab w:val="left" w:pos="720" w:leader="none"/>
          <w:tab w:val="left" w:pos="1440" w:leader="none"/>
        </w:tabs>
        <w:rPr>
          <w:sz w:val="26"/>
        </w:rPr>
      </w:pPr>
      <w:r>
        <w:rPr>
          <w:sz w:val="26"/>
        </w:rPr>
        <w:tab/>
        <w:t>-</w:t>
        <w:tab/>
        <w:t>100% market opening</w:t>
      </w:r>
    </w:p>
    <w:p>
      <w:pPr>
        <w:pStyle w:val="Normal"/>
        <w:tabs>
          <w:tab w:val="left" w:pos="720" w:leader="none"/>
          <w:tab w:val="left" w:pos="1440" w:leader="none"/>
        </w:tabs>
        <w:rPr/>
      </w:pPr>
      <w:r>
        <w:rPr/>
        <w:tab/>
        <w:t>-</w:t>
        <w:tab/>
        <w:t>Deeper regulatory third party access</w:t>
        <w:br/>
        <w:tab/>
        <w:t>-</w:t>
        <w:tab/>
        <w:t>Legal unbundling and independent regulation under consideration</w:t>
        <w:br/>
      </w:r>
      <w:r>
        <w:br w:type="page"/>
      </w:r>
    </w:p>
    <w:p>
      <w:pPr>
        <w:pStyle w:val="Heading1"/>
        <w:ind w:hanging="0" w:start="0"/>
        <w:rPr>
          <w:b/>
          <w:bCs/>
        </w:rPr>
      </w:pPr>
      <w:r>
        <w:rPr>
          <w:b/>
          <w:bCs/>
        </w:rPr>
        <w:t>Liberalization Issues</w:t>
      </w:r>
    </w:p>
    <w:p>
      <w:pPr>
        <w:pStyle w:val="Normal"/>
        <w:jc w:val="center"/>
        <w:rPr>
          <w:b/>
          <w:bCs/>
          <w:sz w:val="32"/>
        </w:rPr>
      </w:pPr>
      <w:r>
        <w:rPr>
          <w:b/>
          <w:bCs/>
          <w:sz w:val="32"/>
        </w:rPr>
      </w:r>
    </w:p>
    <w:p>
      <w:pPr>
        <w:pStyle w:val="Normal"/>
        <w:jc w:val="center"/>
        <w:rPr>
          <w:sz w:val="32"/>
        </w:rPr>
      </w:pPr>
      <w:r>
        <w:rPr>
          <w:sz w:val="32"/>
        </w:rPr>
      </w:r>
    </w:p>
    <w:p>
      <w:pPr>
        <w:pStyle w:val="Normal"/>
        <w:numPr>
          <w:ilvl w:val="0"/>
          <w:numId w:val="5"/>
        </w:numPr>
        <w:spacing w:lineRule="auto" w:line="360"/>
        <w:rPr>
          <w:b/>
          <w:bCs/>
          <w:sz w:val="26"/>
        </w:rPr>
      </w:pPr>
      <w:r>
        <w:rPr>
          <w:b/>
          <w:bCs/>
          <w:sz w:val="26"/>
        </w:rPr>
        <w:t>Integration/mergers</w:t>
      </w:r>
    </w:p>
    <w:p>
      <w:pPr>
        <w:pStyle w:val="BodyTextIndent"/>
        <w:ind w:firstLine="120" w:start="-120" w:end="0"/>
        <w:rPr>
          <w:sz w:val="26"/>
        </w:rPr>
      </w:pPr>
      <w:r>
        <w:rPr>
          <w:sz w:val="26"/>
        </w:rPr>
        <w:tab/>
        <w:t>-</w:t>
        <w:tab/>
        <w:t xml:space="preserve">Rivalry/competitiveness is being threatened by a wave of mergers and acquisitions in the energy industry.  In the </w:t>
      </w:r>
    </w:p>
    <w:p>
      <w:pPr>
        <w:pStyle w:val="BodyTextIndent"/>
        <w:ind w:firstLine="120" w:start="-120" w:end="0"/>
        <w:rPr>
          <w:sz w:val="26"/>
        </w:rPr>
      </w:pPr>
      <w:r>
        <w:rPr>
          <w:sz w:val="26"/>
        </w:rPr>
        <w:tab/>
        <w:tab/>
        <w:t xml:space="preserve">upstream sector, the mergers of ExxonMobil, of BP Amoco-Arco, and of Total Fina-Elf have all had impacts on </w:t>
      </w:r>
    </w:p>
    <w:p>
      <w:pPr>
        <w:pStyle w:val="BodyTextIndent"/>
        <w:ind w:firstLine="120" w:start="-120" w:end="0"/>
        <w:rPr>
          <w:sz w:val="26"/>
        </w:rPr>
      </w:pPr>
      <w:r>
        <w:rPr>
          <w:sz w:val="26"/>
        </w:rPr>
        <w:tab/>
        <w:tab/>
        <w:t xml:space="preserve">the international and local markets, with concerns that could only be met with divestment of assets.  In Europe, the </w:t>
      </w:r>
    </w:p>
    <w:p>
      <w:pPr>
        <w:pStyle w:val="BodyTextIndent"/>
        <w:ind w:firstLine="120" w:start="-120" w:end="0"/>
        <w:rPr>
          <w:sz w:val="26"/>
        </w:rPr>
      </w:pPr>
      <w:r>
        <w:rPr>
          <w:sz w:val="26"/>
        </w:rPr>
        <w:tab/>
        <w:tab/>
        <w:t xml:space="preserve">mergers of RWE VEW, of VEBA VIAG, the proposed merger of Endesa Iberdrola and the acquisitions by </w:t>
      </w:r>
    </w:p>
    <w:p>
      <w:pPr>
        <w:pStyle w:val="BodyTextIndent"/>
        <w:ind w:firstLine="120" w:start="-120" w:end="0"/>
        <w:rPr>
          <w:sz w:val="26"/>
        </w:rPr>
      </w:pPr>
      <w:r>
        <w:rPr>
          <w:sz w:val="26"/>
        </w:rPr>
        <w:tab/>
        <w:tab/>
        <w:t xml:space="preserve">Electricity de France of two public electricity suppliers in UK (London Electricity and the supply business of </w:t>
      </w:r>
    </w:p>
    <w:p>
      <w:pPr>
        <w:pStyle w:val="BodyTextIndent"/>
        <w:ind w:firstLine="120" w:start="-120" w:end="0"/>
        <w:rPr>
          <w:sz w:val="26"/>
        </w:rPr>
      </w:pPr>
      <w:r>
        <w:rPr>
          <w:sz w:val="26"/>
        </w:rPr>
        <w:tab/>
        <w:tab/>
        <w:t>South Western Electricity) and of EnBW in Germany threaten to reduce competitiveness further</w:t>
        <w:br/>
        <w:tab/>
        <w:tab/>
      </w:r>
    </w:p>
    <w:p>
      <w:pPr>
        <w:pStyle w:val="Normal"/>
        <w:tabs>
          <w:tab w:val="left" w:pos="720" w:leader="none"/>
          <w:tab w:val="left" w:pos="1440" w:leader="none"/>
        </w:tabs>
        <w:rPr>
          <w:sz w:val="26"/>
        </w:rPr>
      </w:pPr>
      <w:r>
        <w:rPr>
          <w:sz w:val="26"/>
        </w:rPr>
        <w:tab/>
        <w:t>-</w:t>
        <w:tab/>
        <w:t>Another hot topic is reciprocity, where some countries are refusing to accommodate gas or power from countries</w:t>
      </w:r>
    </w:p>
    <w:p>
      <w:pPr>
        <w:pStyle w:val="Normal"/>
        <w:tabs>
          <w:tab w:val="left" w:pos="720" w:leader="none"/>
          <w:tab w:val="left" w:pos="1440" w:leader="none"/>
        </w:tabs>
        <w:rPr>
          <w:sz w:val="26"/>
        </w:rPr>
      </w:pPr>
      <w:r>
        <w:rPr>
          <w:sz w:val="26"/>
        </w:rPr>
        <w:tab/>
        <w:tab/>
        <w:t xml:space="preserve">that have not themselves liberalized, thus reducing everyone's speed to the slowest player.  There is also a </w:t>
      </w:r>
    </w:p>
    <w:p>
      <w:pPr>
        <w:pStyle w:val="Normal"/>
        <w:tabs>
          <w:tab w:val="left" w:pos="720" w:leader="none"/>
          <w:tab w:val="left" w:pos="1440" w:leader="none"/>
        </w:tabs>
        <w:rPr>
          <w:sz w:val="26"/>
        </w:rPr>
      </w:pPr>
      <w:r>
        <w:rPr>
          <w:sz w:val="26"/>
        </w:rPr>
        <w:tab/>
        <w:tab/>
        <w:t xml:space="preserve">risk that non-EU member states, the accession countries, will be prevented from contributing to and benefiting </w:t>
      </w:r>
    </w:p>
    <w:p>
      <w:pPr>
        <w:pStyle w:val="Normal"/>
        <w:tabs>
          <w:tab w:val="left" w:pos="720" w:leader="none"/>
          <w:tab w:val="left" w:pos="1440" w:leader="none"/>
        </w:tabs>
        <w:rPr>
          <w:sz w:val="26"/>
        </w:rPr>
      </w:pPr>
      <w:r>
        <w:rPr>
          <w:sz w:val="26"/>
        </w:rPr>
        <w:tab/>
        <w:tab/>
        <w:t>from EU liberalization if trades between EU and non-EU countries are blocked</w:t>
      </w:r>
    </w:p>
    <w:p>
      <w:pPr>
        <w:pStyle w:val="Normal"/>
        <w:tabs>
          <w:tab w:val="left" w:pos="720" w:leader="none"/>
          <w:tab w:val="left" w:pos="1440" w:leader="none"/>
        </w:tabs>
        <w:rPr>
          <w:b/>
          <w:bCs/>
          <w:sz w:val="26"/>
        </w:rPr>
      </w:pPr>
      <w:r>
        <w:rPr>
          <w:b/>
          <w:bCs/>
          <w:sz w:val="26"/>
        </w:rPr>
      </w:r>
    </w:p>
    <w:p>
      <w:pPr>
        <w:pStyle w:val="BodyTextIndent"/>
        <w:ind w:firstLine="120" w:start="-120" w:end="0"/>
        <w:rPr>
          <w:b/>
          <w:bCs/>
          <w:sz w:val="26"/>
        </w:rPr>
      </w:pPr>
      <w:r>
        <w:rPr>
          <w:b/>
          <w:bCs/>
          <w:sz w:val="26"/>
        </w:rPr>
      </w:r>
    </w:p>
    <w:p>
      <w:pPr>
        <w:pStyle w:val="Normal"/>
        <w:numPr>
          <w:ilvl w:val="0"/>
          <w:numId w:val="5"/>
        </w:numPr>
        <w:tabs>
          <w:tab w:val="left" w:pos="720" w:leader="none"/>
          <w:tab w:val="left" w:pos="1440" w:leader="none"/>
        </w:tabs>
        <w:rPr>
          <w:b/>
          <w:bCs/>
          <w:sz w:val="26"/>
        </w:rPr>
      </w:pPr>
      <w:r>
        <w:rPr>
          <w:b/>
          <w:bCs/>
          <w:sz w:val="26"/>
        </w:rPr>
        <w:t>Signs of slow-down to French pace</w:t>
        <w:br/>
      </w:r>
    </w:p>
    <w:p>
      <w:pPr>
        <w:pStyle w:val="Normal"/>
        <w:tabs>
          <w:tab w:val="left" w:pos="720" w:leader="none"/>
          <w:tab w:val="left" w:pos="1440" w:leader="none"/>
        </w:tabs>
        <w:rPr>
          <w:b/>
          <w:bCs/>
          <w:sz w:val="26"/>
        </w:rPr>
      </w:pPr>
      <w:r>
        <w:rPr>
          <w:b/>
          <w:bCs/>
          <w:sz w:val="26"/>
        </w:rPr>
      </w:r>
    </w:p>
    <w:p>
      <w:pPr>
        <w:pStyle w:val="Normal"/>
        <w:numPr>
          <w:ilvl w:val="0"/>
          <w:numId w:val="5"/>
        </w:numPr>
        <w:tabs>
          <w:tab w:val="left" w:pos="720" w:leader="none"/>
          <w:tab w:val="left" w:pos="1440" w:leader="none"/>
        </w:tabs>
        <w:spacing w:lineRule="auto" w:line="360"/>
        <w:rPr>
          <w:b/>
          <w:bCs/>
          <w:sz w:val="26"/>
        </w:rPr>
      </w:pPr>
      <w:r>
        <w:rPr>
          <w:b/>
          <w:bCs/>
          <w:sz w:val="26"/>
        </w:rPr>
        <w:tab/>
        <w:t xml:space="preserve">NTPA problem (Negotiated Third Party Access) </w:t>
      </w:r>
      <w:r>
        <w:rPr>
          <w:sz w:val="26"/>
        </w:rPr>
        <w:t>under consideration in new direction</w:t>
      </w:r>
    </w:p>
    <w:p>
      <w:pPr>
        <w:pStyle w:val="Normal"/>
        <w:tabs>
          <w:tab w:val="left" w:pos="720" w:leader="none"/>
          <w:tab w:val="left" w:pos="1440" w:leader="none"/>
        </w:tabs>
        <w:rPr/>
      </w:pPr>
      <w:r>
        <w:rPr>
          <w:b/>
          <w:bCs/>
          <w:sz w:val="26"/>
        </w:rPr>
        <w:tab/>
      </w:r>
      <w:r>
        <w:rPr>
          <w:sz w:val="26"/>
        </w:rPr>
        <w:t>-</w:t>
        <w:tab/>
        <w:t xml:space="preserve">The preference of some countries for </w:t>
      </w:r>
      <w:r>
        <w:rPr>
          <w:sz w:val="26"/>
          <w:u w:val="single"/>
        </w:rPr>
        <w:t>Negotiated Third Party Access</w:t>
      </w:r>
      <w:r>
        <w:rPr>
          <w:sz w:val="26"/>
        </w:rPr>
        <w:t xml:space="preserve"> over </w:t>
      </w:r>
      <w:r>
        <w:rPr>
          <w:sz w:val="26"/>
          <w:u w:val="single"/>
        </w:rPr>
        <w:t>Regulated Third Party Access</w:t>
      </w:r>
      <w:r>
        <w:rPr>
          <w:sz w:val="26"/>
        </w:rPr>
        <w:t xml:space="preserve"> prevents a </w:t>
      </w:r>
    </w:p>
    <w:p>
      <w:pPr>
        <w:pStyle w:val="Normal"/>
        <w:tabs>
          <w:tab w:val="left" w:pos="720" w:leader="none"/>
          <w:tab w:val="left" w:pos="1440" w:leader="none"/>
        </w:tabs>
        <w:rPr>
          <w:sz w:val="26"/>
        </w:rPr>
      </w:pPr>
      <w:r>
        <w:rPr>
          <w:sz w:val="26"/>
        </w:rPr>
        <w:tab/>
        <w:tab/>
        <w:t>degree of transparency in transportation and transmission agreements, particularly between affiliates in vertically</w:t>
      </w:r>
    </w:p>
    <w:p>
      <w:pPr>
        <w:pStyle w:val="BodyText3"/>
        <w:rPr/>
      </w:pPr>
      <w:r>
        <w:rPr/>
        <w:tab/>
        <w:tab/>
        <w:t xml:space="preserve">integrated undertakings, a topic that FERC has fought (and continues to fight) hard to eradicate in the U.S. </w:t>
        <w:br/>
      </w:r>
    </w:p>
    <w:p>
      <w:pPr>
        <w:pStyle w:val="Normal"/>
        <w:tabs>
          <w:tab w:val="left" w:pos="720" w:leader="none"/>
          <w:tab w:val="left" w:pos="1440" w:leader="none"/>
        </w:tabs>
        <w:rPr>
          <w:sz w:val="26"/>
        </w:rPr>
      </w:pPr>
      <w:r>
        <w:rPr>
          <w:sz w:val="26"/>
        </w:rPr>
      </w:r>
    </w:p>
    <w:p>
      <w:pPr>
        <w:pStyle w:val="Normal"/>
        <w:numPr>
          <w:ilvl w:val="0"/>
          <w:numId w:val="9"/>
        </w:numPr>
        <w:tabs>
          <w:tab w:val="left" w:pos="720" w:leader="none"/>
          <w:tab w:val="left" w:pos="1440" w:leader="none"/>
        </w:tabs>
        <w:spacing w:lineRule="auto" w:line="360"/>
        <w:rPr>
          <w:b/>
          <w:bCs/>
          <w:sz w:val="26"/>
        </w:rPr>
      </w:pPr>
      <w:r>
        <w:rPr>
          <w:b/>
          <w:bCs/>
          <w:sz w:val="26"/>
        </w:rPr>
        <w:t>Upstream concentration in gas</w:t>
      </w:r>
    </w:p>
    <w:p>
      <w:pPr>
        <w:pStyle w:val="BodyText"/>
        <w:rPr>
          <w:sz w:val="26"/>
        </w:rPr>
      </w:pPr>
      <w:r>
        <w:rPr>
          <w:sz w:val="26"/>
        </w:rPr>
        <w:tab/>
        <w:t>-</w:t>
        <w:tab/>
        <w:t>Five-year derogation for Norway for example</w:t>
        <w:br/>
      </w:r>
      <w:r>
        <w:br w:type="page"/>
      </w:r>
    </w:p>
    <w:p>
      <w:pPr>
        <w:pStyle w:val="BodyText"/>
        <w:jc w:val="center"/>
        <w:rPr>
          <w:b/>
          <w:bCs/>
          <w:sz w:val="32"/>
        </w:rPr>
      </w:pPr>
      <w:r>
        <w:rPr>
          <w:b/>
          <w:bCs/>
          <w:sz w:val="32"/>
        </w:rPr>
        <w:t>Liberalization Issues - Continued</w:t>
      </w:r>
    </w:p>
    <w:p>
      <w:pPr>
        <w:pStyle w:val="BodyText"/>
        <w:jc w:val="center"/>
        <w:rPr>
          <w:b/>
          <w:bCs/>
          <w:sz w:val="32"/>
        </w:rPr>
      </w:pPr>
      <w:r>
        <w:rPr>
          <w:b/>
          <w:bCs/>
          <w:sz w:val="32"/>
        </w:rPr>
      </w:r>
    </w:p>
    <w:p>
      <w:pPr>
        <w:pStyle w:val="BodyText"/>
        <w:jc w:val="center"/>
        <w:rPr>
          <w:b/>
          <w:bCs/>
          <w:sz w:val="32"/>
        </w:rPr>
      </w:pPr>
      <w:r>
        <w:rPr>
          <w:b/>
          <w:bCs/>
          <w:sz w:val="32"/>
        </w:rPr>
      </w:r>
    </w:p>
    <w:p>
      <w:pPr>
        <w:pStyle w:val="BodyText"/>
        <w:jc w:val="center"/>
        <w:rPr>
          <w:b/>
          <w:bCs/>
          <w:sz w:val="32"/>
        </w:rPr>
      </w:pPr>
      <w:r>
        <w:rPr>
          <w:b/>
          <w:bCs/>
          <w:sz w:val="32"/>
        </w:rPr>
      </w:r>
    </w:p>
    <w:p>
      <w:pPr>
        <w:pStyle w:val="Normal"/>
        <w:numPr>
          <w:ilvl w:val="0"/>
          <w:numId w:val="9"/>
        </w:numPr>
        <w:tabs>
          <w:tab w:val="left" w:pos="720" w:leader="none"/>
          <w:tab w:val="left" w:pos="1440" w:leader="none"/>
        </w:tabs>
        <w:spacing w:lineRule="auto" w:line="360"/>
        <w:rPr>
          <w:b/>
          <w:bCs/>
          <w:sz w:val="26"/>
        </w:rPr>
      </w:pPr>
      <w:r>
        <w:rPr>
          <w:b/>
          <w:bCs/>
          <w:sz w:val="26"/>
        </w:rPr>
        <w:t>Inadequate policies from European Commission</w:t>
      </w:r>
    </w:p>
    <w:p>
      <w:pPr>
        <w:pStyle w:val="Normal"/>
        <w:tabs>
          <w:tab w:val="left" w:pos="720" w:leader="none"/>
          <w:tab w:val="left" w:pos="1440" w:leader="none"/>
        </w:tabs>
        <w:rPr/>
      </w:pPr>
      <w:r>
        <w:rPr>
          <w:b/>
          <w:bCs/>
          <w:sz w:val="26"/>
        </w:rPr>
        <w:tab/>
      </w:r>
      <w:r>
        <w:rPr>
          <w:sz w:val="26"/>
        </w:rPr>
        <w:t>-</w:t>
        <w:tab/>
        <w:t xml:space="preserve">Inadequate response to mergers and trading taxes </w:t>
      </w:r>
    </w:p>
    <w:p>
      <w:pPr>
        <w:pStyle w:val="Normal"/>
        <w:tabs>
          <w:tab w:val="left" w:pos="720" w:leader="none"/>
          <w:tab w:val="left" w:pos="1440" w:leader="none"/>
        </w:tabs>
        <w:rPr>
          <w:sz w:val="26"/>
        </w:rPr>
      </w:pPr>
      <w:r>
        <w:rPr>
          <w:sz w:val="26"/>
        </w:rPr>
        <w:tab/>
        <w:br/>
      </w:r>
    </w:p>
    <w:p>
      <w:pPr>
        <w:pStyle w:val="Normal"/>
        <w:tabs>
          <w:tab w:val="left" w:pos="720" w:leader="none"/>
          <w:tab w:val="left" w:pos="1440" w:leader="none"/>
        </w:tabs>
        <w:rPr>
          <w:sz w:val="26"/>
        </w:rPr>
      </w:pPr>
      <w:r>
        <w:rPr>
          <w:sz w:val="26"/>
        </w:rPr>
      </w:r>
    </w:p>
    <w:p>
      <w:pPr>
        <w:pStyle w:val="Normal"/>
        <w:numPr>
          <w:ilvl w:val="0"/>
          <w:numId w:val="9"/>
        </w:numPr>
        <w:tabs>
          <w:tab w:val="left" w:pos="720" w:leader="none"/>
          <w:tab w:val="left" w:pos="1440" w:leader="none"/>
        </w:tabs>
        <w:spacing w:lineRule="auto" w:line="360"/>
        <w:rPr>
          <w:sz w:val="26"/>
        </w:rPr>
      </w:pPr>
      <w:r>
        <w:rPr>
          <w:b/>
          <w:bCs/>
          <w:sz w:val="26"/>
        </w:rPr>
        <w:t>Gas-oil price link in UK</w:t>
      </w:r>
    </w:p>
    <w:p>
      <w:pPr>
        <w:pStyle w:val="BodyText"/>
        <w:ind w:hanging="600" w:start="1320" w:end="0"/>
        <w:rPr>
          <w:sz w:val="26"/>
        </w:rPr>
      </w:pPr>
      <w:r>
        <w:rPr>
          <w:sz w:val="26"/>
        </w:rPr>
        <w:t>-</w:t>
        <w:tab/>
        <w:tab/>
        <w:t>Gas now linked to oil (after 10 years of liberalization).</w:t>
      </w:r>
    </w:p>
    <w:p>
      <w:pPr>
        <w:pStyle w:val="BodyText"/>
        <w:ind w:hanging="600" w:start="1320" w:end="0"/>
        <w:rPr>
          <w:sz w:val="26"/>
        </w:rPr>
      </w:pPr>
      <w:r>
        <w:rPr>
          <w:sz w:val="26"/>
        </w:rPr>
      </w:r>
    </w:p>
    <w:p>
      <w:pPr>
        <w:pStyle w:val="BodyText"/>
        <w:ind w:hanging="600" w:start="1320" w:end="0"/>
        <w:rPr/>
      </w:pPr>
      <w:r>
        <w:rPr>
          <w:sz w:val="26"/>
        </w:rPr>
        <w:t>-</w:t>
        <w:tab/>
        <w:t xml:space="preserve">Despite the fact that liberalization of the UK gas market was extended to 100% in 1998, wholesale prices recently returned to pre-liberalization levels although they have subsequently declined.  Two effects have been at play here:  </w:t>
      </w:r>
      <w:r>
        <w:rPr>
          <w:sz w:val="26"/>
          <w:u w:val="single"/>
        </w:rPr>
        <w:t>First</w:t>
      </w:r>
      <w:r>
        <w:rPr>
          <w:sz w:val="26"/>
        </w:rPr>
        <w:t xml:space="preserve"> the recent wave of mergers in the upstream sector has increased market concentration, reducing the level of competitiveness in European markets; s</w:t>
      </w:r>
      <w:r>
        <w:rPr>
          <w:sz w:val="26"/>
          <w:u w:val="single"/>
        </w:rPr>
        <w:t>econd</w:t>
      </w:r>
      <w:r>
        <w:rPr>
          <w:sz w:val="26"/>
        </w:rPr>
        <w:t xml:space="preserve">, the gas interconnector between UK and Belgium has exposed the UK to continental price pressures which are heavily oil-influenced.  </w:t>
      </w:r>
    </w:p>
    <w:p>
      <w:pPr>
        <w:pStyle w:val="BodyText"/>
        <w:ind w:hanging="600" w:start="1320" w:end="0"/>
        <w:rPr>
          <w:sz w:val="26"/>
        </w:rPr>
      </w:pPr>
      <w:r>
        <w:rPr>
          <w:sz w:val="26"/>
        </w:rPr>
      </w:r>
    </w:p>
    <w:p>
      <w:pPr>
        <w:pStyle w:val="BodyText"/>
        <w:ind w:hanging="600" w:start="1320" w:end="0"/>
        <w:rPr/>
      </w:pPr>
      <w:r>
        <w:rPr/>
        <w:t>-</w:t>
        <w:tab/>
        <w:t>When gas prices were high on the continent, because of indexation with oil in the absence of meaningful gas-to-gas competition, gas was exported to the continent.  Liberalization of continental gas markets will not only reduce the level of oil price dependency on the continent but will also increase the level of gas-to-gas competition on neighboring markets also.</w:t>
      </w:r>
    </w:p>
    <w:p>
      <w:pPr>
        <w:pStyle w:val="Normal"/>
        <w:tabs>
          <w:tab w:val="left" w:pos="720" w:leader="none"/>
          <w:tab w:val="left" w:pos="1440" w:leader="none"/>
        </w:tabs>
        <w:ind w:start="1320" w:end="0"/>
        <w:rPr/>
      </w:pPr>
      <w:r>
        <w:rPr/>
      </w:r>
      <w:r>
        <w:br w:type="page"/>
      </w:r>
    </w:p>
    <w:p>
      <w:pPr>
        <w:pStyle w:val="Normal"/>
        <w:tabs>
          <w:tab w:val="left" w:pos="720" w:leader="none"/>
          <w:tab w:val="left" w:pos="1440" w:leader="none"/>
        </w:tabs>
        <w:jc w:val="center"/>
        <w:rPr>
          <w:b/>
          <w:bCs/>
          <w:sz w:val="32"/>
        </w:rPr>
      </w:pPr>
      <w:r>
        <w:rPr>
          <w:b/>
          <w:bCs/>
          <w:sz w:val="32"/>
        </w:rPr>
        <w:t>Competition Works!</w:t>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28"/>
        </w:rPr>
      </w:pPr>
      <w:r>
        <w:rPr>
          <w:b/>
          <w:bCs/>
          <w:sz w:val="28"/>
        </w:rPr>
      </w:r>
    </w:p>
    <w:p>
      <w:pPr>
        <w:pStyle w:val="Normal"/>
        <w:numPr>
          <w:ilvl w:val="0"/>
          <w:numId w:val="9"/>
        </w:numPr>
        <w:tabs>
          <w:tab w:val="left" w:pos="720" w:leader="none"/>
          <w:tab w:val="left" w:pos="1440" w:leader="none"/>
        </w:tabs>
        <w:rPr>
          <w:sz w:val="28"/>
        </w:rPr>
      </w:pPr>
      <w:r>
        <w:rPr>
          <w:sz w:val="28"/>
        </w:rPr>
        <w:t>Important study just released by the U.K. National Audit Office (Office of Gas and Electricity Markets [OGEM]) that quantified gas and power savings from retail competition.</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r>
    </w:p>
    <w:p>
      <w:pPr>
        <w:pStyle w:val="Normal"/>
        <w:numPr>
          <w:ilvl w:val="0"/>
          <w:numId w:val="9"/>
        </w:numPr>
        <w:tabs>
          <w:tab w:val="left" w:pos="720" w:leader="none"/>
          <w:tab w:val="left" w:pos="1440" w:leader="none"/>
        </w:tabs>
        <w:rPr>
          <w:sz w:val="28"/>
        </w:rPr>
      </w:pPr>
      <w:r>
        <w:rPr>
          <w:sz w:val="28"/>
        </w:rPr>
        <w:t xml:space="preserve">The study concluded that </w:t>
      </w:r>
      <w:r>
        <w:rPr>
          <w:sz w:val="28"/>
          <w:u w:val="single"/>
        </w:rPr>
        <w:t>proactive customers saved money</w:t>
      </w:r>
      <w:r>
        <w:rPr>
          <w:sz w:val="28"/>
        </w:rPr>
        <w:t xml:space="preserve"> and </w:t>
      </w:r>
      <w:r>
        <w:rPr>
          <w:sz w:val="28"/>
          <w:u w:val="single"/>
        </w:rPr>
        <w:t xml:space="preserve">further savings awaited customers who have not switched if they did so </w:t>
        <w:br/>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[Work from slide]</w:t>
      </w:r>
    </w:p>
    <w:p>
      <w:pPr>
        <w:pStyle w:val="Normal"/>
        <w:tabs>
          <w:tab w:val="left" w:pos="720" w:leader="none"/>
          <w:tab w:val="left" w:pos="1440" w:leader="none"/>
        </w:tabs>
        <w:rPr/>
      </w:pPr>
      <w:r>
        <w:rPr/>
      </w:r>
    </w:p>
    <w:p>
      <w:pPr>
        <w:pStyle w:val="Normal"/>
        <w:tabs>
          <w:tab w:val="left" w:pos="720" w:leader="none"/>
          <w:tab w:val="left" w:pos="1440" w:leader="none"/>
        </w:tabs>
        <w:rPr/>
      </w:pPr>
      <w:r>
        <w:rPr/>
      </w:r>
      <w:r>
        <w:br w:type="page"/>
      </w:r>
    </w:p>
    <w:p>
      <w:pPr>
        <w:pStyle w:val="Normal"/>
        <w:tabs>
          <w:tab w:val="left" w:pos="720" w:leader="none"/>
          <w:tab w:val="left" w:pos="1440" w:leader="none"/>
        </w:tabs>
        <w:jc w:val="center"/>
        <w:rPr>
          <w:b/>
          <w:bCs/>
          <w:sz w:val="32"/>
        </w:rPr>
      </w:pPr>
      <w:r>
        <w:rPr>
          <w:b/>
          <w:bCs/>
          <w:sz w:val="32"/>
        </w:rPr>
        <w:t>Security of Supply</w:t>
      </w:r>
    </w:p>
    <w:p>
      <w:pPr>
        <w:pStyle w:val="Normal"/>
        <w:tabs>
          <w:tab w:val="left" w:pos="720" w:leader="none"/>
          <w:tab w:val="left" w:pos="1440" w:leader="none"/>
        </w:tabs>
        <w:jc w:val="center"/>
        <w:rPr>
          <w:b/>
          <w:bCs/>
          <w:sz w:val="28"/>
        </w:rPr>
      </w:pPr>
      <w:r>
        <w:rPr>
          <w:b/>
          <w:bCs/>
          <w:sz w:val="28"/>
        </w:rPr>
      </w:r>
    </w:p>
    <w:p>
      <w:pPr>
        <w:pStyle w:val="Normal"/>
        <w:numPr>
          <w:ilvl w:val="0"/>
          <w:numId w:val="6"/>
        </w:numPr>
        <w:tabs>
          <w:tab w:val="left" w:pos="720" w:leader="none"/>
          <w:tab w:val="left" w:pos="1440" w:leader="none"/>
        </w:tabs>
        <w:rPr>
          <w:sz w:val="28"/>
        </w:rPr>
      </w:pPr>
      <w:r>
        <w:rPr>
          <w:sz w:val="28"/>
        </w:rPr>
        <w:t>Issue:  Can long-term, take-or-pay gas contracts with Gazprom (favored by some in Germany, France, Italy, and Netherlands) or can other market initiatives or mechanisms (such as risk management) suffice?</w:t>
      </w:r>
    </w:p>
    <w:p>
      <w:pPr>
        <w:pStyle w:val="Normal"/>
        <w:tabs>
          <w:tab w:val="left" w:pos="720" w:leader="none"/>
          <w:tab w:val="left" w:pos="1440" w:leader="none"/>
        </w:tabs>
        <w:rPr>
          <w:sz w:val="28"/>
        </w:rPr>
      </w:pPr>
      <w:r>
        <w:rPr>
          <w:sz w:val="28"/>
        </w:rPr>
      </w:r>
    </w:p>
    <w:p>
      <w:pPr>
        <w:pStyle w:val="Normal"/>
        <w:numPr>
          <w:ilvl w:val="0"/>
          <w:numId w:val="6"/>
        </w:numPr>
        <w:tabs>
          <w:tab w:val="left" w:pos="720" w:leader="none"/>
          <w:tab w:val="left" w:pos="1440" w:leader="none"/>
        </w:tabs>
        <w:rPr>
          <w:sz w:val="28"/>
        </w:rPr>
      </w:pPr>
      <w:r>
        <w:rPr>
          <w:sz w:val="28"/>
        </w:rPr>
        <w:t>Alternatives:</w:t>
      </w:r>
    </w:p>
    <w:p>
      <w:pPr>
        <w:pStyle w:val="Normal"/>
        <w:tabs>
          <w:tab w:val="left" w:pos="720" w:leader="none"/>
          <w:tab w:val="left" w:pos="1440" w:leader="none"/>
        </w:tabs>
        <w:rPr>
          <w:sz w:val="28"/>
        </w:rPr>
      </w:pPr>
      <w:r>
        <w:rPr>
          <w:sz w:val="28"/>
        </w:rPr>
        <w:tab/>
        <w:t>-</w:t>
        <w:tab/>
        <w:t xml:space="preserve">Norway has continued to bring gas and capacity to market in parallel with European implementation of </w:t>
      </w:r>
    </w:p>
    <w:p>
      <w:pPr>
        <w:pStyle w:val="Normal"/>
        <w:tabs>
          <w:tab w:val="left" w:pos="720" w:leader="none"/>
          <w:tab w:val="left" w:pos="1440" w:leader="none"/>
        </w:tabs>
        <w:rPr>
          <w:sz w:val="28"/>
        </w:rPr>
      </w:pPr>
      <w:r>
        <w:rPr>
          <w:sz w:val="28"/>
        </w:rPr>
        <w:tab/>
        <w:tab/>
        <w:t xml:space="preserve">the Gas Directive  </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w:t>
        <w:tab/>
        <w:t xml:space="preserve">The global LNG market has significant potential  </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w:t>
        <w:tab/>
        <w:t xml:space="preserve">Russia supply will still flow for commercial gains (no evidence to suggest that it would be in Russia's </w:t>
      </w:r>
    </w:p>
    <w:p>
      <w:pPr>
        <w:pStyle w:val="Normal"/>
        <w:tabs>
          <w:tab w:val="left" w:pos="720" w:leader="none"/>
          <w:tab w:val="left" w:pos="1440" w:leader="none"/>
        </w:tabs>
        <w:rPr>
          <w:sz w:val="28"/>
        </w:rPr>
      </w:pPr>
      <w:r>
        <w:rPr>
          <w:sz w:val="28"/>
        </w:rPr>
        <w:tab/>
        <w:tab/>
        <w:t>interest to curtain foreign earnings from gas exports)</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w:t>
        <w:tab/>
        <w:t xml:space="preserve">In liberalized markets, exploration and transportation construction are conducted equally as much as under </w:t>
      </w:r>
    </w:p>
    <w:p>
      <w:pPr>
        <w:pStyle w:val="Normal"/>
        <w:tabs>
          <w:tab w:val="left" w:pos="720" w:leader="none"/>
          <w:tab w:val="left" w:pos="1440" w:leader="none"/>
        </w:tabs>
        <w:rPr>
          <w:sz w:val="28"/>
        </w:rPr>
      </w:pPr>
      <w:r>
        <w:rPr>
          <w:sz w:val="28"/>
        </w:rPr>
        <w:tab/>
        <w:tab/>
        <w:t>long-term, take-or-pay arrangements</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w:t>
        <w:tab/>
        <w:t xml:space="preserve">In competitive market conditions under TPA, buyers will be able to respond to price signals in ways that </w:t>
      </w:r>
    </w:p>
    <w:p>
      <w:pPr>
        <w:pStyle w:val="Normal"/>
        <w:tabs>
          <w:tab w:val="left" w:pos="720" w:leader="none"/>
          <w:tab w:val="left" w:pos="1440" w:leader="none"/>
        </w:tabs>
        <w:rPr>
          <w:sz w:val="28"/>
        </w:rPr>
      </w:pPr>
      <w:r>
        <w:rPr>
          <w:sz w:val="28"/>
        </w:rPr>
        <w:tab/>
        <w:tab/>
        <w:t xml:space="preserve">resolve concerns on supply security.  There are supply alternatives both in the form of other sources of gas </w:t>
      </w:r>
    </w:p>
    <w:p>
      <w:pPr>
        <w:pStyle w:val="Normal"/>
        <w:tabs>
          <w:tab w:val="left" w:pos="720" w:leader="none"/>
          <w:tab w:val="left" w:pos="1440" w:leader="none"/>
        </w:tabs>
        <w:rPr>
          <w:sz w:val="28"/>
        </w:rPr>
      </w:pPr>
      <w:r>
        <w:rPr>
          <w:sz w:val="28"/>
        </w:rPr>
        <w:tab/>
        <w:tab/>
        <w:t>and in the form of alternate fuels, which prevent producers exercising market power.</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ind w:end="-1248"/>
        <w:rPr>
          <w:sz w:val="28"/>
        </w:rPr>
      </w:pPr>
      <w:r>
        <w:rPr>
          <w:sz w:val="28"/>
        </w:rPr>
        <w:tab/>
        <w:t>-</w:t>
        <w:tab/>
        <w:t xml:space="preserve">Economic dimension is paramount; physical security of supply is irrelevant if no one can afford to pay         </w:t>
      </w:r>
    </w:p>
    <w:p>
      <w:pPr>
        <w:pStyle w:val="Normal"/>
        <w:tabs>
          <w:tab w:val="left" w:pos="720" w:leader="none"/>
          <w:tab w:val="left" w:pos="1440" w:leader="none"/>
        </w:tabs>
        <w:ind w:end="-1248"/>
        <w:rPr>
          <w:sz w:val="28"/>
        </w:rPr>
      </w:pPr>
      <w:r>
        <w:rPr>
          <w:sz w:val="28"/>
        </w:rPr>
        <w:tab/>
        <w:tab/>
        <w:t>for it.</w:t>
        <w:br/>
      </w:r>
    </w:p>
    <w:p>
      <w:pPr>
        <w:pStyle w:val="Normal"/>
        <w:tabs>
          <w:tab w:val="left" w:pos="720" w:leader="none"/>
          <w:tab w:val="left" w:pos="1440" w:leader="none"/>
        </w:tabs>
        <w:ind w:end="-1248"/>
        <w:rPr>
          <w:sz w:val="28"/>
        </w:rPr>
      </w:pPr>
      <w:r>
        <w:rPr>
          <w:sz w:val="28"/>
        </w:rPr>
        <w:tab/>
        <w:t>-</w:t>
        <w:tab/>
        <w:t xml:space="preserve">Market signals are a fundamental requirement to allow the assessment of technical, economic and political risk that </w:t>
      </w:r>
    </w:p>
    <w:p>
      <w:pPr>
        <w:pStyle w:val="Normal"/>
        <w:tabs>
          <w:tab w:val="left" w:pos="720" w:leader="none"/>
          <w:tab w:val="left" w:pos="1440" w:leader="none"/>
        </w:tabs>
        <w:ind w:end="-1248"/>
        <w:rPr>
          <w:sz w:val="28"/>
        </w:rPr>
      </w:pPr>
      <w:r>
        <w:rPr>
          <w:sz w:val="28"/>
        </w:rPr>
        <w:tab/>
        <w:tab/>
        <w:t xml:space="preserve">drives changes in usage through demand management and fuel substitution.  Competitive markets are what foster </w:t>
      </w:r>
    </w:p>
    <w:p>
      <w:pPr>
        <w:pStyle w:val="Normal"/>
        <w:tabs>
          <w:tab w:val="left" w:pos="720" w:leader="none"/>
          <w:tab w:val="left" w:pos="1440" w:leader="none"/>
        </w:tabs>
        <w:ind w:end="-1248"/>
        <w:rPr>
          <w:sz w:val="28"/>
        </w:rPr>
      </w:pPr>
      <w:r>
        <w:rPr>
          <w:sz w:val="28"/>
        </w:rPr>
        <w:tab/>
        <w:tab/>
        <w:t>these economic signals.</w:t>
      </w:r>
    </w:p>
    <w:p>
      <w:pPr>
        <w:pStyle w:val="Normal"/>
        <w:tabs>
          <w:tab w:val="left" w:pos="720" w:leader="none"/>
          <w:tab w:val="left" w:pos="1440" w:leader="none"/>
        </w:tabs>
        <w:ind w:end="-1248"/>
        <w:rPr>
          <w:sz w:val="28"/>
        </w:rPr>
      </w:pPr>
      <w:r>
        <w:rPr>
          <w:sz w:val="28"/>
        </w:rPr>
      </w:r>
    </w:p>
    <w:p>
      <w:pPr>
        <w:pStyle w:val="Normal"/>
        <w:tabs>
          <w:tab w:val="left" w:pos="720" w:leader="none"/>
          <w:tab w:val="left" w:pos="1440" w:leader="none"/>
        </w:tabs>
        <w:ind w:end="-1248"/>
        <w:rPr/>
      </w:pPr>
      <w:r>
        <w:rPr>
          <w:sz w:val="28"/>
        </w:rPr>
        <w:tab/>
        <w:t>-</w:t>
        <w:tab/>
        <w:t>If long-term contracts are signed, the liberalization process (3</w:t>
      </w:r>
      <w:r>
        <w:rPr>
          <w:sz w:val="28"/>
          <w:vertAlign w:val="superscript"/>
        </w:rPr>
        <w:t>rd</w:t>
      </w:r>
      <w:r>
        <w:rPr>
          <w:sz w:val="28"/>
        </w:rPr>
        <w:t xml:space="preserve"> party access) still should remain on a fast track</w:t>
      </w:r>
      <w:r>
        <w:br w:type="page"/>
      </w:r>
    </w:p>
    <w:p>
      <w:pPr>
        <w:pStyle w:val="Normal"/>
        <w:tabs>
          <w:tab w:val="left" w:pos="720" w:leader="none"/>
          <w:tab w:val="left" w:pos="1440" w:leader="none"/>
        </w:tabs>
        <w:jc w:val="center"/>
        <w:rPr>
          <w:b/>
          <w:bCs/>
          <w:sz w:val="32"/>
        </w:rPr>
      </w:pPr>
      <w:r>
        <w:rPr>
          <w:b/>
          <w:bCs/>
          <w:sz w:val="32"/>
        </w:rPr>
        <w:t xml:space="preserve"> </w:t>
      </w:r>
      <w:r>
        <w:rPr>
          <w:b/>
          <w:bCs/>
          <w:sz w:val="32"/>
        </w:rPr>
        <w:t>Energy Outsourcing</w:t>
        <w:br/>
        <w:t xml:space="preserve">EES Deals in Process </w:t>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32"/>
        </w:rPr>
      </w:pPr>
      <w:r>
        <w:rPr>
          <w:b/>
          <w:bCs/>
          <w:sz w:val="32"/>
        </w:rPr>
      </w:r>
    </w:p>
    <w:p>
      <w:pPr>
        <w:pStyle w:val="Normal"/>
        <w:numPr>
          <w:ilvl w:val="0"/>
          <w:numId w:val="7"/>
        </w:numPr>
        <w:tabs>
          <w:tab w:val="left" w:pos="720" w:leader="none"/>
          <w:tab w:val="left" w:pos="1440" w:leader="none"/>
        </w:tabs>
        <w:rPr>
          <w:sz w:val="28"/>
        </w:rPr>
      </w:pPr>
      <w:r>
        <w:rPr>
          <w:sz w:val="28"/>
        </w:rPr>
        <w:t>[Work from slide]</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r>
    </w:p>
    <w:p>
      <w:pPr>
        <w:pStyle w:val="Normal"/>
        <w:numPr>
          <w:ilvl w:val="0"/>
          <w:numId w:val="7"/>
        </w:numPr>
        <w:tabs>
          <w:tab w:val="left" w:pos="720" w:leader="none"/>
          <w:tab w:val="left" w:pos="1440" w:leader="none"/>
        </w:tabs>
        <w:rPr>
          <w:sz w:val="28"/>
        </w:rPr>
      </w:pPr>
      <w:r>
        <w:rPr>
          <w:sz w:val="28"/>
        </w:rPr>
        <w:t>Countries where EES is serving customers today:</w:t>
      </w:r>
    </w:p>
    <w:p>
      <w:pPr>
        <w:pStyle w:val="Normal"/>
        <w:tabs>
          <w:tab w:val="left" w:pos="720" w:leader="none"/>
          <w:tab w:val="left" w:pos="1440" w:leader="none"/>
        </w:tabs>
        <w:rPr>
          <w:sz w:val="28"/>
        </w:rPr>
      </w:pPr>
      <w:r>
        <w:rPr>
          <w:sz w:val="28"/>
        </w:rPr>
      </w:r>
    </w:p>
    <w:p>
      <w:pPr>
        <w:pStyle w:val="Heading2"/>
        <w:tabs>
          <w:tab w:val="clear" w:pos="1440"/>
          <w:tab w:val="clear" w:pos="6000"/>
          <w:tab w:val="clear" w:pos="10080"/>
          <w:tab w:val="left" w:pos="720" w:leader="none"/>
          <w:tab w:val="left" w:pos="2880" w:leader="none"/>
          <w:tab w:val="left" w:pos="5640" w:leader="none"/>
          <w:tab w:val="left" w:pos="8880" w:leader="none"/>
        </w:tabs>
        <w:ind w:hanging="0" w:start="0"/>
        <w:rPr/>
      </w:pPr>
      <w:r>
        <w:rPr/>
        <w:tab/>
        <w:tab/>
        <w:t>USA</w:t>
        <w:tab/>
        <w:t>Spain</w:t>
        <w:tab/>
        <w:t>Germany</w:t>
      </w:r>
    </w:p>
    <w:p>
      <w:pPr>
        <w:pStyle w:val="Normal"/>
        <w:tabs>
          <w:tab w:val="left" w:pos="720" w:leader="none"/>
          <w:tab w:val="left" w:pos="2880" w:leader="none"/>
          <w:tab w:val="left" w:pos="5640" w:leader="none"/>
          <w:tab w:val="left" w:pos="8880" w:leader="none"/>
        </w:tabs>
        <w:rPr>
          <w:sz w:val="28"/>
        </w:rPr>
      </w:pPr>
      <w:r>
        <w:rPr>
          <w:sz w:val="28"/>
        </w:rPr>
        <w:tab/>
        <w:tab/>
        <w:t>Canada</w:t>
        <w:tab/>
        <w:t>Portugal</w:t>
        <w:tab/>
        <w:t>Netherlands</w:t>
      </w:r>
    </w:p>
    <w:p>
      <w:pPr>
        <w:pStyle w:val="Normal"/>
        <w:tabs>
          <w:tab w:val="left" w:pos="720" w:leader="none"/>
          <w:tab w:val="left" w:pos="2880" w:leader="none"/>
          <w:tab w:val="left" w:pos="5640" w:leader="none"/>
          <w:tab w:val="left" w:pos="8880" w:leader="none"/>
        </w:tabs>
        <w:rPr>
          <w:sz w:val="28"/>
        </w:rPr>
      </w:pPr>
      <w:r>
        <w:rPr>
          <w:sz w:val="28"/>
        </w:rPr>
        <w:tab/>
        <w:tab/>
        <w:t>UK</w:t>
        <w:tab/>
        <w:t>Switzerland</w:t>
        <w:tab/>
        <w:t>Sweden</w:t>
      </w:r>
    </w:p>
    <w:p>
      <w:pPr>
        <w:pStyle w:val="Normal"/>
        <w:tabs>
          <w:tab w:val="left" w:pos="720" w:leader="none"/>
          <w:tab w:val="left" w:pos="2880" w:leader="none"/>
          <w:tab w:val="left" w:pos="5640" w:leader="none"/>
          <w:tab w:val="left" w:pos="8880" w:leader="none"/>
        </w:tabs>
        <w:rPr>
          <w:sz w:val="28"/>
        </w:rPr>
      </w:pPr>
      <w:r>
        <w:rPr>
          <w:sz w:val="28"/>
        </w:rPr>
        <w:tab/>
        <w:tab/>
        <w:t>Italy</w:t>
        <w:tab/>
        <w:t>Austria</w:t>
        <w:tab/>
        <w:t>Finland</w:t>
      </w:r>
    </w:p>
    <w:p>
      <w:pPr>
        <w:pStyle w:val="Normal"/>
        <w:tabs>
          <w:tab w:val="left" w:pos="720" w:leader="none"/>
          <w:tab w:val="left" w:pos="2880" w:leader="none"/>
          <w:tab w:val="left" w:pos="5640" w:leader="none"/>
          <w:tab w:val="left" w:pos="8880" w:leader="none"/>
        </w:tabs>
        <w:rPr>
          <w:sz w:val="28"/>
        </w:rPr>
      </w:pPr>
      <w:r>
        <w:rPr>
          <w:sz w:val="28"/>
        </w:rPr>
      </w:r>
    </w:p>
    <w:p>
      <w:pPr>
        <w:pStyle w:val="Normal"/>
        <w:tabs>
          <w:tab w:val="left" w:pos="720" w:leader="none"/>
          <w:tab w:val="left" w:pos="1440" w:leader="none"/>
        </w:tabs>
        <w:rPr>
          <w:sz w:val="28"/>
        </w:rPr>
      </w:pPr>
      <w:r>
        <w:rPr>
          <w:sz w:val="28"/>
        </w:rPr>
      </w:r>
    </w:p>
    <w:p>
      <w:pPr>
        <w:pStyle w:val="Normal"/>
        <w:numPr>
          <w:ilvl w:val="0"/>
          <w:numId w:val="4"/>
        </w:numPr>
        <w:tabs>
          <w:tab w:val="left" w:pos="720" w:leader="none"/>
          <w:tab w:val="left" w:pos="1440" w:leader="none"/>
        </w:tabs>
        <w:rPr>
          <w:sz w:val="28"/>
        </w:rPr>
      </w:pPr>
      <w:r>
        <w:rPr>
          <w:sz w:val="28"/>
        </w:rPr>
        <w:t>Offices with EES staff:</w:t>
      </w:r>
    </w:p>
    <w:p>
      <w:pPr>
        <w:pStyle w:val="Normal"/>
        <w:tabs>
          <w:tab w:val="left" w:pos="720" w:leader="none"/>
          <w:tab w:val="left" w:pos="1440" w:leader="none"/>
        </w:tabs>
        <w:rPr>
          <w:sz w:val="28"/>
        </w:rPr>
      </w:pPr>
      <w:r>
        <w:rPr>
          <w:sz w:val="28"/>
        </w:rPr>
      </w:r>
    </w:p>
    <w:p>
      <w:pPr>
        <w:pStyle w:val="Normal"/>
        <w:tabs>
          <w:tab w:val="left" w:pos="720" w:leader="none"/>
          <w:tab w:val="left" w:pos="1440" w:leader="none"/>
        </w:tabs>
        <w:rPr>
          <w:sz w:val="28"/>
        </w:rPr>
      </w:pPr>
      <w:r>
        <w:rPr>
          <w:sz w:val="28"/>
        </w:rPr>
        <w:tab/>
        <w:tab/>
        <w:tab/>
        <w:tab/>
        <w:t>U.S.</w:t>
        <w:tab/>
        <w:tab/>
        <w:tab/>
        <w:tab/>
      </w:r>
    </w:p>
    <w:p>
      <w:pPr>
        <w:pStyle w:val="Normal"/>
        <w:tabs>
          <w:tab w:val="left" w:pos="720" w:leader="none"/>
          <w:tab w:val="left" w:pos="1440" w:leader="none"/>
        </w:tabs>
        <w:rPr>
          <w:sz w:val="28"/>
        </w:rPr>
      </w:pPr>
      <w:r>
        <w:rPr>
          <w:sz w:val="28"/>
        </w:rPr>
        <w:tab/>
        <w:tab/>
        <w:tab/>
        <w:tab/>
        <w:t>United Kingdom</w:t>
        <w:tab/>
        <w:tab/>
      </w:r>
    </w:p>
    <w:p>
      <w:pPr>
        <w:pStyle w:val="Normal"/>
        <w:tabs>
          <w:tab w:val="left" w:pos="720" w:leader="none"/>
          <w:tab w:val="left" w:pos="1440" w:leader="none"/>
        </w:tabs>
        <w:rPr>
          <w:sz w:val="28"/>
        </w:rPr>
      </w:pPr>
      <w:r>
        <w:rPr>
          <w:sz w:val="28"/>
        </w:rPr>
        <w:tab/>
        <w:tab/>
        <w:tab/>
        <w:tab/>
        <w:t>Stockholm</w:t>
        <w:tab/>
        <w:tab/>
        <w:tab/>
      </w:r>
    </w:p>
    <w:p>
      <w:pPr>
        <w:pStyle w:val="Normal"/>
        <w:tabs>
          <w:tab w:val="left" w:pos="720" w:leader="none"/>
          <w:tab w:val="left" w:pos="1440" w:leader="none"/>
        </w:tabs>
        <w:rPr>
          <w:sz w:val="28"/>
        </w:rPr>
      </w:pPr>
      <w:r>
        <w:rPr>
          <w:sz w:val="28"/>
        </w:rPr>
        <w:tab/>
        <w:tab/>
        <w:tab/>
        <w:tab/>
        <w:t>Amsterdam</w:t>
      </w:r>
    </w:p>
    <w:p>
      <w:pPr>
        <w:pStyle w:val="Normal"/>
        <w:tabs>
          <w:tab w:val="left" w:pos="720" w:leader="none"/>
          <w:tab w:val="left" w:pos="1440" w:leader="none"/>
        </w:tabs>
        <w:rPr>
          <w:sz w:val="28"/>
        </w:rPr>
      </w:pPr>
      <w:r>
        <w:rPr>
          <w:sz w:val="28"/>
        </w:rPr>
        <w:tab/>
        <w:tab/>
        <w:tab/>
        <w:tab/>
        <w:t>Frankfurt</w:t>
      </w:r>
    </w:p>
    <w:p>
      <w:pPr>
        <w:pStyle w:val="Normal"/>
        <w:tabs>
          <w:tab w:val="left" w:pos="720" w:leader="none"/>
          <w:tab w:val="left" w:pos="1440" w:leader="none"/>
        </w:tabs>
        <w:rPr>
          <w:sz w:val="28"/>
        </w:rPr>
      </w:pPr>
      <w:r>
        <w:rPr>
          <w:sz w:val="28"/>
        </w:rPr>
        <w:tab/>
        <w:tab/>
        <w:tab/>
        <w:tab/>
        <w:t>Madrid</w:t>
      </w:r>
    </w:p>
    <w:p>
      <w:pPr>
        <w:pStyle w:val="Normal"/>
        <w:tabs>
          <w:tab w:val="left" w:pos="720" w:leader="none"/>
          <w:tab w:val="left" w:pos="1440" w:leader="none"/>
        </w:tabs>
        <w:rPr>
          <w:sz w:val="28"/>
        </w:rPr>
      </w:pPr>
      <w:r>
        <w:rPr>
          <w:sz w:val="28"/>
        </w:rPr>
        <w:tab/>
        <w:tab/>
        <w:tab/>
        <w:tab/>
        <w:t>Switzerland</w:t>
      </w:r>
    </w:p>
    <w:p>
      <w:pPr>
        <w:pStyle w:val="Normal"/>
        <w:tabs>
          <w:tab w:val="left" w:pos="720" w:leader="none"/>
          <w:tab w:val="left" w:pos="1440" w:leader="none"/>
        </w:tabs>
        <w:rPr/>
      </w:pPr>
      <w:r>
        <w:rPr/>
      </w:r>
    </w:p>
    <w:p>
      <w:pPr>
        <w:pStyle w:val="Normal"/>
        <w:tabs>
          <w:tab w:val="left" w:pos="720" w:leader="none"/>
          <w:tab w:val="left" w:pos="1440" w:leader="none"/>
        </w:tabs>
        <w:rPr/>
      </w:pPr>
      <w:r>
        <w:rPr/>
      </w:r>
    </w:p>
    <w:p>
      <w:pPr>
        <w:pStyle w:val="Normal"/>
        <w:tabs>
          <w:tab w:val="left" w:pos="720" w:leader="none"/>
          <w:tab w:val="left" w:pos="1440" w:leader="none"/>
        </w:tabs>
        <w:rPr>
          <w:b/>
          <w:bCs/>
          <w:sz w:val="32"/>
        </w:rPr>
      </w:pPr>
      <w:r>
        <w:rPr>
          <w:b/>
          <w:bCs/>
          <w:sz w:val="32"/>
        </w:rPr>
      </w:r>
      <w:r>
        <w:br w:type="page"/>
      </w:r>
    </w:p>
    <w:p>
      <w:pPr>
        <w:pStyle w:val="Normal"/>
        <w:tabs>
          <w:tab w:val="left" w:pos="720" w:leader="none"/>
          <w:tab w:val="left" w:pos="1440" w:leader="none"/>
        </w:tabs>
        <w:jc w:val="center"/>
        <w:rPr>
          <w:b/>
          <w:bCs/>
          <w:sz w:val="32"/>
        </w:rPr>
      </w:pPr>
      <w:r>
        <w:rPr>
          <w:b/>
          <w:bCs/>
          <w:sz w:val="32"/>
        </w:rPr>
        <w:t>Governments, Companies, and Civil Society All Have a Role in Market Liberalization</w:t>
      </w:r>
    </w:p>
    <w:p>
      <w:pPr>
        <w:pStyle w:val="Normal"/>
        <w:tabs>
          <w:tab w:val="left" w:pos="720" w:leader="none"/>
          <w:tab w:val="left" w:pos="1440" w:leader="none"/>
        </w:tabs>
        <w:jc w:val="center"/>
        <w:rPr>
          <w:b/>
          <w:bCs/>
          <w:sz w:val="32"/>
        </w:rPr>
      </w:pPr>
      <w:r>
        <w:rPr>
          <w:b/>
          <w:bCs/>
          <w:sz w:val="32"/>
        </w:rPr>
      </w:r>
    </w:p>
    <w:p>
      <w:pPr>
        <w:pStyle w:val="Normal"/>
        <w:tabs>
          <w:tab w:val="left" w:pos="720" w:leader="none"/>
          <w:tab w:val="left" w:pos="1440" w:leader="none"/>
        </w:tabs>
        <w:jc w:val="center"/>
        <w:rPr>
          <w:b/>
          <w:bCs/>
          <w:sz w:val="32"/>
        </w:rPr>
      </w:pPr>
      <w:r>
        <w:rPr>
          <w:b/>
          <w:bCs/>
          <w:sz w:val="32"/>
        </w:rPr>
      </w:r>
    </w:p>
    <w:p>
      <w:pPr>
        <w:pStyle w:val="Normal"/>
        <w:numPr>
          <w:ilvl w:val="0"/>
          <w:numId w:val="3"/>
        </w:numPr>
        <w:rPr>
          <w:sz w:val="26"/>
        </w:rPr>
      </w:pPr>
      <w:r>
        <w:rPr>
          <w:sz w:val="26"/>
        </w:rPr>
        <w:t>We do not see market liberalization as choice between environmental and social responsibility and market liberalization--</w:t>
      </w:r>
    </w:p>
    <w:p>
      <w:pPr>
        <w:pStyle w:val="Normal"/>
        <w:ind w:start="360" w:end="0"/>
        <w:rPr>
          <w:sz w:val="26"/>
        </w:rPr>
      </w:pPr>
      <w:r>
        <w:rPr>
          <w:sz w:val="26"/>
        </w:rPr>
        <w:t xml:space="preserve">a market-based system can create convergence </w:t>
      </w:r>
    </w:p>
    <w:p>
      <w:pPr>
        <w:pStyle w:val="Footer"/>
        <w:tabs>
          <w:tab w:val="clear" w:pos="4320"/>
          <w:tab w:val="clear" w:pos="8640"/>
        </w:tabs>
        <w:rPr>
          <w:sz w:val="26"/>
        </w:rPr>
      </w:pPr>
      <w:r>
        <w:rPr>
          <w:sz w:val="26"/>
        </w:rPr>
      </w:r>
    </w:p>
    <w:p>
      <w:pPr>
        <w:pStyle w:val="Normal"/>
        <w:numPr>
          <w:ilvl w:val="0"/>
          <w:numId w:val="3"/>
        </w:numPr>
        <w:rPr>
          <w:sz w:val="26"/>
        </w:rPr>
      </w:pPr>
      <w:r>
        <w:rPr>
          <w:sz w:val="26"/>
        </w:rPr>
        <w:t>How do we build a liberalization process that fosters this convergence?</w:t>
      </w:r>
    </w:p>
    <w:p>
      <w:pPr>
        <w:pStyle w:val="Footer"/>
        <w:tabs>
          <w:tab w:val="clear" w:pos="4320"/>
          <w:tab w:val="clear" w:pos="8640"/>
        </w:tabs>
        <w:rPr>
          <w:sz w:val="26"/>
        </w:rPr>
      </w:pPr>
      <w:r>
        <w:rPr>
          <w:sz w:val="26"/>
        </w:rPr>
      </w:r>
    </w:p>
    <w:p>
      <w:pPr>
        <w:pStyle w:val="Normal"/>
        <w:numPr>
          <w:ilvl w:val="0"/>
          <w:numId w:val="3"/>
        </w:numPr>
        <w:rPr>
          <w:sz w:val="26"/>
        </w:rPr>
      </w:pPr>
      <w:r>
        <w:rPr>
          <w:sz w:val="26"/>
        </w:rPr>
        <w:t xml:space="preserve">A market-based system is critical to achieving efficiency, affordability </w:t>
      </w:r>
      <w:r>
        <w:rPr>
          <w:sz w:val="26"/>
          <w:u w:val="single"/>
        </w:rPr>
        <w:t xml:space="preserve">and </w:t>
      </w:r>
      <w:r>
        <w:rPr>
          <w:sz w:val="26"/>
        </w:rPr>
        <w:t>sustainability; market efficiencies provide foundation for innovation and solutions to these issues  (cite EES)</w:t>
      </w:r>
    </w:p>
    <w:p>
      <w:pPr>
        <w:pStyle w:val="Footer"/>
        <w:tabs>
          <w:tab w:val="clear" w:pos="4320"/>
          <w:tab w:val="clear" w:pos="8640"/>
        </w:tabs>
        <w:rPr>
          <w:sz w:val="26"/>
        </w:rPr>
      </w:pPr>
      <w:r>
        <w:rPr>
          <w:sz w:val="26"/>
        </w:rPr>
      </w:r>
    </w:p>
    <w:p>
      <w:pPr>
        <w:pStyle w:val="Normal"/>
        <w:numPr>
          <w:ilvl w:val="0"/>
          <w:numId w:val="2"/>
        </w:numPr>
        <w:rPr>
          <w:sz w:val="26"/>
        </w:rPr>
      </w:pPr>
      <w:r>
        <w:rPr>
          <w:sz w:val="26"/>
        </w:rPr>
        <w:t>But to be successful, we must take an integrated approach to energy policy and liberalization.  The challenges lie with the process of opening markets –</w:t>
      </w:r>
    </w:p>
    <w:p>
      <w:pPr>
        <w:pStyle w:val="Footer"/>
        <w:tabs>
          <w:tab w:val="clear" w:pos="4320"/>
          <w:tab w:val="clear" w:pos="8640"/>
        </w:tabs>
        <w:rPr>
          <w:sz w:val="26"/>
        </w:rPr>
      </w:pPr>
      <w:r>
        <w:rPr>
          <w:sz w:val="26"/>
        </w:rPr>
      </w:r>
    </w:p>
    <w:p>
      <w:pPr>
        <w:pStyle w:val="Normal"/>
        <w:numPr>
          <w:ilvl w:val="0"/>
          <w:numId w:val="2"/>
        </w:numPr>
        <w:rPr>
          <w:sz w:val="26"/>
        </w:rPr>
      </w:pPr>
      <w:r>
        <w:rPr>
          <w:sz w:val="26"/>
        </w:rPr>
        <w:t>Currently, discussions and actions relating to market liberalization as a component of globalization are causing a backlash – from Seattle to Prague, a fear that free markets have not and will not lift all boats and that we cannot achieve economic efficiency while achieving social and environmental sustainability.</w:t>
      </w:r>
    </w:p>
    <w:p>
      <w:pPr>
        <w:pStyle w:val="Footer"/>
        <w:tabs>
          <w:tab w:val="clear" w:pos="4320"/>
          <w:tab w:val="clear" w:pos="8640"/>
        </w:tabs>
        <w:rPr>
          <w:sz w:val="26"/>
        </w:rPr>
      </w:pPr>
      <w:r>
        <w:rPr>
          <w:sz w:val="26"/>
        </w:rPr>
      </w:r>
    </w:p>
    <w:p>
      <w:pPr>
        <w:pStyle w:val="Normal"/>
        <w:numPr>
          <w:ilvl w:val="0"/>
          <w:numId w:val="2"/>
        </w:numPr>
        <w:rPr>
          <w:sz w:val="26"/>
        </w:rPr>
      </w:pPr>
      <w:r>
        <w:rPr>
          <w:sz w:val="26"/>
        </w:rPr>
        <w:t>When regulated systems open to the market, companies are more empowered, governments are relatively less influential. And society demands a greater voice and control over companies because they do not trust companies to act in the public good.</w:t>
      </w:r>
    </w:p>
    <w:p>
      <w:pPr>
        <w:pStyle w:val="Footer"/>
        <w:tabs>
          <w:tab w:val="clear" w:pos="4320"/>
          <w:tab w:val="clear" w:pos="8640"/>
        </w:tabs>
        <w:rPr>
          <w:sz w:val="26"/>
        </w:rPr>
      </w:pPr>
      <w:r>
        <w:rPr>
          <w:sz w:val="26"/>
        </w:rPr>
      </w:r>
    </w:p>
    <w:p>
      <w:pPr>
        <w:pStyle w:val="Normal"/>
        <w:numPr>
          <w:ilvl w:val="0"/>
          <w:numId w:val="2"/>
        </w:numPr>
        <w:rPr>
          <w:sz w:val="26"/>
        </w:rPr>
      </w:pPr>
      <w:r>
        <w:rPr>
          <w:sz w:val="26"/>
        </w:rPr>
        <w:t xml:space="preserve">What does this all mean?  Governments need to set up markets so that they are capable of efficiently responding to societal and market needs to ensure that markets work for society’s benefit.  Companies need to encourage market efficiencies such that long-term viability and sustainability is created (when all groups are satisfied). Companies need to more effectively demonstrate how accountability can be achieved through </w:t>
      </w:r>
      <w:r>
        <w:rPr>
          <w:sz w:val="26"/>
          <w:u w:val="single"/>
        </w:rPr>
        <w:t>self-regulation</w:t>
      </w:r>
      <w:r>
        <w:rPr>
          <w:sz w:val="26"/>
        </w:rPr>
        <w:t xml:space="preserve"> (i.e. market incentives and disincentives).  </w:t>
      </w:r>
    </w:p>
    <w:p>
      <w:pPr>
        <w:pStyle w:val="Footer"/>
        <w:tabs>
          <w:tab w:val="clear" w:pos="4320"/>
          <w:tab w:val="clear" w:pos="8640"/>
        </w:tabs>
        <w:rPr>
          <w:sz w:val="26"/>
        </w:rPr>
      </w:pPr>
      <w:r>
        <w:rPr>
          <w:sz w:val="26"/>
        </w:rPr>
      </w:r>
    </w:p>
    <w:p>
      <w:pPr>
        <w:pStyle w:val="BodyText2"/>
        <w:numPr>
          <w:ilvl w:val="0"/>
          <w:numId w:val="4"/>
        </w:numPr>
        <w:tabs>
          <w:tab w:val="left" w:pos="720" w:leader="none"/>
          <w:tab w:val="left" w:pos="3600" w:leader="none"/>
        </w:tabs>
        <w:rPr>
          <w:b w:val="false"/>
          <w:bCs w:val="false"/>
          <w:sz w:val="32"/>
        </w:rPr>
      </w:pPr>
      <w:r>
        <w:rPr>
          <w:b w:val="false"/>
          <w:bCs w:val="false"/>
        </w:rPr>
        <w:t>Civil society needs to understand how markets can create powerful incentives to do the right thing.  (One model is through participation in the liberalization process, another is through public-private partnerships designed to proactively address social and environmental issues.)</w:t>
      </w:r>
    </w:p>
    <w:sectPr>
      <w:footerReference w:type="default" r:id="rId2"/>
      <w:type w:val="nextPage"/>
      <w:pgSz w:orient="landscape" w:w="15840" w:h="12240"/>
      <w:pgMar w:left="1152" w:right="1296" w:gutter="0" w:header="0" w:top="1152"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KLL-Davos-EngLib</w:t>
    </w:r>
  </w:p>
  <w:p>
    <w:pPr>
      <w:pStyle w:val="Footer"/>
      <w:rPr>
        <w:sz w:val="18"/>
      </w:rPr>
    </w:pPr>
    <w:r>
      <w:rPr>
        <w:sz w:val="18"/>
      </w:rPr>
      <w:t>1/29-01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432"/>
        </w:tabs>
        <w:ind w:start="432" w:hanging="432"/>
      </w:pPr>
      <w:rPr>
        <w:rFonts w:ascii="Symbol" w:hAnsi="Symbol" w:cs="Symbol" w:hint="default"/>
      </w:rPr>
    </w:lvl>
  </w:abstractNum>
  <w:abstractNum w:abstractNumId="5">
    <w:lvl w:ilvl="0">
      <w:start w:val="1"/>
      <w:numFmt w:val="bullet"/>
      <w:lvlText w:val=""/>
      <w:lvlJc w:val="start"/>
      <w:pPr>
        <w:tabs>
          <w:tab w:val="num" w:pos="432"/>
        </w:tabs>
        <w:ind w:start="432" w:hanging="432"/>
      </w:pPr>
      <w:rPr>
        <w:rFonts w:ascii="Symbol" w:hAnsi="Symbol" w:cs="Symbol" w:hint="default"/>
      </w:rPr>
    </w:lvl>
  </w:abstractNum>
  <w:abstractNum w:abstractNumId="6">
    <w:lvl w:ilvl="0">
      <w:start w:val="1"/>
      <w:numFmt w:val="bullet"/>
      <w:lvlText w:val=""/>
      <w:lvlJc w:val="start"/>
      <w:pPr>
        <w:tabs>
          <w:tab w:val="num" w:pos="432"/>
        </w:tabs>
        <w:ind w:start="432" w:hanging="432"/>
      </w:pPr>
      <w:rPr>
        <w:rFonts w:ascii="Symbol" w:hAnsi="Symbol" w:cs="Symbol" w:hint="default"/>
      </w:rPr>
    </w:lvl>
  </w:abstractNum>
  <w:abstractNum w:abstractNumId="7">
    <w:lvl w:ilvl="0">
      <w:start w:val="1"/>
      <w:numFmt w:val="bullet"/>
      <w:lvlText w:val=""/>
      <w:lvlJc w:val="start"/>
      <w:pPr>
        <w:tabs>
          <w:tab w:val="num" w:pos="432"/>
        </w:tabs>
        <w:ind w:start="432" w:hanging="432"/>
      </w:pPr>
      <w:rPr>
        <w:rFonts w:ascii="Symbol" w:hAnsi="Symbol" w:cs="Symbol" w:hint="default"/>
      </w:rPr>
    </w:lvl>
  </w:abstractNum>
  <w:abstractNum w:abstractNumId="8">
    <w:lvl w:ilvl="0">
      <w:start w:val="1"/>
      <w:numFmt w:val="bullet"/>
      <w:lvlText w:val=""/>
      <w:lvlJc w:val="start"/>
      <w:pPr>
        <w:tabs>
          <w:tab w:val="num" w:pos="432"/>
        </w:tabs>
        <w:ind w:start="432" w:hanging="432"/>
      </w:pPr>
      <w:rPr>
        <w:rFonts w:ascii="Symbol" w:hAnsi="Symbol" w:cs="Symbol" w:hint="default"/>
      </w:rPr>
    </w:lvl>
  </w:abstractNum>
  <w:abstractNum w:abstractNumId="9">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fullPage"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tabs>
        <w:tab w:val="left" w:pos="720" w:leader="none"/>
        <w:tab w:val="left" w:pos="1440" w:leader="none"/>
        <w:tab w:val="left" w:pos="6000" w:leader="none"/>
        <w:tab w:val="left" w:pos="10080" w:leader="none"/>
      </w:tabs>
      <w:outlineLvl w:val="1"/>
    </w:pPr>
    <w:rPr>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Times New Roman" w:hAnsi="Times New Roman" w:eastAsia="Times New Roman" w:cs="Times New Roman"/>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32"/>
    </w:rPr>
  </w:style>
  <w:style w:type="paragraph" w:styleId="BodyText">
    <w:name w:val="Body Text"/>
    <w:basedOn w:val="Normal"/>
    <w:pPr>
      <w:tabs>
        <w:tab w:val="left" w:pos="720" w:leader="none"/>
        <w:tab w:val="left" w:pos="1440" w:leader="none"/>
      </w:tabs>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1440" w:leader="none"/>
      </w:tabs>
      <w:ind w:hanging="0" w:start="432" w:end="0"/>
    </w:pPr>
    <w:rPr>
      <w:sz w:val="28"/>
    </w:rPr>
  </w:style>
  <w:style w:type="paragraph" w:styleId="BodyText2">
    <w:name w:val="Body Text 2"/>
    <w:basedOn w:val="Normal"/>
    <w:qFormat/>
    <w:pPr>
      <w:tabs>
        <w:tab w:val="clear" w:pos="720"/>
        <w:tab w:val="left" w:pos="3600" w:leader="none"/>
      </w:tabs>
    </w:pPr>
    <w:rPr>
      <w:b/>
      <w:bCs/>
      <w:sz w:val="26"/>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tabs>
        <w:tab w:val="left" w:pos="720" w:leader="none"/>
        <w:tab w:val="left" w:pos="1440" w:leader="none"/>
      </w:tabs>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2001-06-06T11:21:00Z</dcterms:created>
  <dc:creator>jstrans</dc:creator>
  <dc:description/>
  <dc:language>en-CA</dc:language>
  <cp:lastModifiedBy>ubrenner</cp:lastModifiedBy>
  <cp:lastPrinted>2001-02-16T16:28:00Z</cp:lastPrinted>
  <dcterms:modified xsi:type="dcterms:W3CDTF">2001-06-06T11:21:00Z</dcterms:modified>
  <cp:revision>2</cp:revision>
  <dc:subject/>
  <dc:title>Natural Gas Liberalization Summary</dc:title>
</cp:coreProperties>
</file>