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>
          <w:b/>
          <w:sz w:val="28"/>
        </w:rPr>
        <w:t>KIRIT PURBHOO</w:t>
      </w:r>
      <w:r>
        <w:rPr/>
        <w:tab/>
        <w:tab/>
        <w:tab/>
        <w:tab/>
        <w:tab/>
        <w:t>B.S.  (Accounting) 3.7 GPA</w:t>
      </w:r>
    </w:p>
    <w:p>
      <w:pPr>
        <w:pStyle w:val="Normal"/>
        <w:rPr/>
      </w:pPr>
      <w:r>
        <w:rPr/>
        <w:t>19027 North Canyon Drive, Tomball, Texas 77375</w:t>
        <w:tab/>
        <w:tab/>
        <w:tab/>
        <w:tab/>
        <w:t xml:space="preserve">     (281)-516-1404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QUALIFICATIONS: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 xml:space="preserve">A </w:t>
      </w:r>
      <w:r>
        <w:rPr>
          <w:b/>
        </w:rPr>
        <w:t>resourceful, highly motivated</w:t>
      </w:r>
      <w:r>
        <w:rPr/>
        <w:t xml:space="preserve"> professional with “an uncanny ability to find and fill a need” offering proven experience encompassing: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Learning Quickly/Adapting</w:t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 Task Completion/Deadlines</w:t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 Training/Motivating/Leading</w:t>
      </w:r>
    </w:p>
    <w:p>
      <w:pPr>
        <w:pStyle w:val="Normal"/>
        <w:numPr>
          <w:ilvl w:val="0"/>
          <w:numId w:val="2"/>
        </w:numPr>
        <w:rPr/>
      </w:pPr>
      <w:r>
        <w:rPr/>
        <w:t>Detailed Recording/Reporting</w:t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 Troubleshooting/Resolving</w:t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 Imaginative/Resourcefulness</w:t>
      </w:r>
    </w:p>
    <w:p>
      <w:pPr>
        <w:pStyle w:val="Normal"/>
        <w:numPr>
          <w:ilvl w:val="0"/>
          <w:numId w:val="2"/>
        </w:numPr>
        <w:rPr/>
      </w:pPr>
      <w:r>
        <w:rPr/>
        <w:t>Supervising/Coordinating</w:t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 Strong Interpersonal Rapport</w:t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 Organizing/Prioritizing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ACHIEVEMENTS: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 xml:space="preserve">SUCCESSFULLY MET and surpassed all goals set for Pacific Gas and Electric. Results: </w:t>
      </w:r>
      <w:r>
        <w:rPr>
          <w:b/>
        </w:rPr>
        <w:t>$1,000K</w:t>
      </w:r>
      <w:r>
        <w:rPr/>
        <w:t xml:space="preserve"> profit in November 2000 alone.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DEMONSTRATED EXCEPTIONAL ABILITY to adapt quickly and learn new job functions.           Result: </w:t>
      </w:r>
      <w:r>
        <w:rPr>
          <w:b/>
        </w:rPr>
        <w:t xml:space="preserve">$100K </w:t>
      </w:r>
      <w:r>
        <w:rPr/>
        <w:t>savings</w:t>
      </w:r>
      <w:r>
        <w:rPr>
          <w:b/>
        </w:rPr>
        <w:t>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NEGOTIATED OFF-SYSTEM RATES behind Pacific Gas and Electric. Result: </w:t>
      </w:r>
      <w:r>
        <w:rPr>
          <w:b/>
        </w:rPr>
        <w:t>$ 500K</w:t>
      </w:r>
      <w:r>
        <w:rPr/>
        <w:t xml:space="preserve"> profit behind Southern California Edison.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NEGOTIATED RATE CHANGE on behalf of Sonoco with Duke Power. Result: </w:t>
      </w:r>
      <w:r>
        <w:rPr>
          <w:b/>
        </w:rPr>
        <w:t>$154K</w:t>
      </w:r>
      <w:r>
        <w:rPr/>
        <w:t xml:space="preserve"> savings.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b/>
          <w:sz w:val="28"/>
        </w:rPr>
        <w:t>EXPANDED PROFESSIONAL EXPERIENCE: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  <w:u w:val="single"/>
        </w:rPr>
        <w:t>SENIOR SPECIALIST</w:t>
      </w:r>
      <w:r>
        <w:rPr/>
        <w:tab/>
        <w:tab/>
        <w:tab/>
        <w:t>Enron  Energy  Services</w:t>
        <w:tab/>
        <w:tab/>
        <w:t>1997-present</w:t>
        <w:tab/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Traded natural gas for California markets ; namely Southern California Edison and Pacific Gas and Electric.</w:t>
      </w:r>
    </w:p>
    <w:p>
      <w:pPr>
        <w:pStyle w:val="BodyTextIndent"/>
        <w:rPr/>
      </w:pPr>
      <w:r>
        <w:rPr/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Scheduled natural gas purchases and sales behind numerous utilities and pipelines.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Prepared savings analysis for sales representatives.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Negotiated off-system , park and lend rates with Pacific Gas and Electric representatives.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Analyzed electric tariffs, customer contracts and invoices to identify potential opportunities to reduce Enron’s cost to serve a customer.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</w:r>
    </w:p>
    <w:p>
      <w:pPr>
        <w:pStyle w:val="Heading1"/>
        <w:ind w:hanging="0" w:start="0"/>
        <w:rPr/>
      </w:pPr>
      <w:r>
        <w:rPr>
          <w:b/>
          <w:sz w:val="28"/>
        </w:rPr>
        <w:t>KIRIT PURBHOO</w:t>
      </w:r>
      <w:r>
        <w:rPr/>
        <w:tab/>
        <w:tab/>
        <w:tab/>
        <w:tab/>
        <w:tab/>
        <w:t>B.S.  (Accounting) 3.7 GPA</w:t>
      </w:r>
    </w:p>
    <w:p>
      <w:pPr>
        <w:pStyle w:val="Normal"/>
        <w:ind w:hanging="720" w:start="720" w:end="0"/>
        <w:rPr/>
      </w:pPr>
      <w:r>
        <w:rPr/>
        <w:t>19027 North Canyon Drive, Tomball, Texas 77375</w:t>
        <w:tab/>
        <w:tab/>
        <w:tab/>
        <w:tab/>
        <w:t xml:space="preserve">     (281)-516-1404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  <w:u w:val="single"/>
        </w:rPr>
        <w:t>FINANCIAL ANALYST</w:t>
      </w:r>
      <w:r>
        <w:rPr/>
        <w:tab/>
        <w:tab/>
        <w:tab/>
        <w:t>Enron  Energy  Services</w:t>
        <w:tab/>
        <w:tab/>
        <w:t>1997-1998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Analyzed natural gas utility tariffs of South West States.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Compared sales rate schedules versus transport rate schedules.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Prepared and presented marketing reports to management.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Prepared customer specific savings analysis for sales representatives.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Led round table discussions with IT, Accounting, Billing, Legal and Regulatory Department representatives.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Prepared Operational Summaries for various gas utilities.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Analyzed New England electric utility tariff.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  <w:u w:val="single"/>
        </w:rPr>
        <w:t>CORPORATE ACCOUNTANT II</w:t>
      </w:r>
      <w:r>
        <w:rPr/>
        <w:tab/>
        <w:tab/>
        <w:t>Huntington Bancshares Inc.</w:t>
        <w:tab/>
        <w:t>1994-1996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Responsible for month-end close process for the entire company.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Responsible for month-end close analysis.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Assisted in preparation of the annual report.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Responsible for entire accounting function for Check Exchange Systems Company.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Reconciled numerous general ledger accounts.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  <w:u w:val="single"/>
        </w:rPr>
        <w:t>CORPORATE ACCOUNTANT I</w:t>
      </w:r>
      <w:r>
        <w:rPr/>
        <w:tab/>
        <w:tab/>
        <w:t>Huntington Bancshares Inc.</w:t>
        <w:tab/>
        <w:t>1991-1994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Monitored monthly income and expense accounts.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Calculated and charged interest on inter-company loans.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Maintained elimination logic for inter-company transactions.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Allocated expenses for corporate jet.</w:t>
        <w:tab/>
        <w:tab/>
        <w:tab/>
        <w:t xml:space="preserve">  </w:t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2000-12-19T22:39:00Z</dcterms:created>
  <dc:creator>kpurbhoo</dc:creator>
  <dc:description/>
  <dc:language>en-CA</dc:language>
  <cp:lastModifiedBy>kpurbhoo</cp:lastModifiedBy>
  <cp:lastPrinted>2001-05-10T12:58:00Z</cp:lastPrinted>
  <dcterms:modified xsi:type="dcterms:W3CDTF">2001-05-10T15:30:00Z</dcterms:modified>
  <cp:revision>6</cp:revision>
  <dc:subject/>
  <dc:title>KIRIT PURBHOO</dc:title>
</cp:coreProperties>
</file>