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sz w:val="24"/>
        </w:rPr>
        <w:t xml:space="preserve">CONFIDENTIAL </w:t>
      </w:r>
      <w:r>
        <w:rPr/>
        <w:tab/>
        <w:tab/>
        <w:tab/>
        <w:tab/>
        <w:tab/>
        <w:tab/>
        <w:tab/>
        <w:tab/>
      </w:r>
      <w:r>
        <w:rPr>
          <w:sz w:val="24"/>
        </w:rPr>
        <w:t>9/25/2001</w:t>
      </w:r>
    </w:p>
    <w:p>
      <w:pPr>
        <w:pStyle w:val="Heading"/>
        <w:rPr/>
      </w:pPr>
      <w:r>
        <w:rPr/>
        <w:t>KINGMAN HEAT RECOVERY PROJECT</w:t>
      </w:r>
    </w:p>
    <w:p>
      <w:pPr>
        <w:pStyle w:val="Normal"/>
        <w:jc w:val="center"/>
        <w:rPr/>
      </w:pPr>
      <w:r>
        <w:rPr>
          <w:b/>
          <w:bCs/>
        </w:rPr>
        <w:t>P</w:t>
      </w:r>
      <w:r>
        <w:rPr>
          <w:b/>
          <w:bCs/>
          <w:sz w:val="20"/>
        </w:rPr>
        <w:t>ROPOSED</w:t>
      </w:r>
      <w:r>
        <w:rPr>
          <w:b/>
          <w:bCs/>
        </w:rPr>
        <w:t xml:space="preserve"> P</w:t>
      </w:r>
      <w:r>
        <w:rPr>
          <w:b/>
          <w:bCs/>
          <w:sz w:val="20"/>
        </w:rPr>
        <w:t>OWER</w:t>
      </w:r>
      <w:r>
        <w:rPr>
          <w:b/>
          <w:bCs/>
        </w:rPr>
        <w:t xml:space="preserve"> P</w:t>
      </w:r>
      <w:r>
        <w:rPr>
          <w:b/>
          <w:bCs/>
          <w:sz w:val="20"/>
        </w:rPr>
        <w:t>URCHASE</w:t>
      </w:r>
      <w:r>
        <w:rPr>
          <w:b/>
          <w:bCs/>
        </w:rPr>
        <w:t xml:space="preserve"> A</w:t>
      </w:r>
      <w:r>
        <w:rPr>
          <w:b/>
          <w:bCs/>
          <w:sz w:val="20"/>
        </w:rPr>
        <w:t>ND</w:t>
      </w:r>
      <w:r>
        <w:rPr>
          <w:b/>
          <w:bCs/>
        </w:rPr>
        <w:t xml:space="preserve"> S</w:t>
      </w:r>
      <w:r>
        <w:rPr>
          <w:b/>
          <w:bCs/>
          <w:sz w:val="20"/>
        </w:rPr>
        <w:t>UPPLY</w:t>
      </w:r>
      <w:r>
        <w:rPr>
          <w:b/>
          <w:bCs/>
        </w:rPr>
        <w:t xml:space="preserve">: </w:t>
      </w:r>
    </w:p>
    <w:p>
      <w:pPr>
        <w:pStyle w:val="Normal"/>
        <w:jc w:val="center"/>
        <w:rPr/>
      </w:pPr>
      <w:r>
        <w:rPr>
          <w:b/>
          <w:bCs/>
        </w:rPr>
        <w:t>S</w:t>
      </w:r>
      <w:r>
        <w:rPr>
          <w:b/>
          <w:bCs/>
          <w:sz w:val="20"/>
        </w:rPr>
        <w:t xml:space="preserve">UMMARY OF </w:t>
      </w:r>
      <w:r>
        <w:rPr>
          <w:b/>
          <w:bCs/>
        </w:rPr>
        <w:t>K</w:t>
      </w:r>
      <w:r>
        <w:rPr>
          <w:b/>
          <w:bCs/>
          <w:sz w:val="20"/>
        </w:rPr>
        <w:t xml:space="preserve">EY </w:t>
      </w:r>
      <w:r>
        <w:rPr>
          <w:b/>
          <w:bCs/>
        </w:rPr>
        <w:t>T</w:t>
      </w:r>
      <w:r>
        <w:rPr>
          <w:b/>
          <w:bCs/>
          <w:sz w:val="20"/>
        </w:rPr>
        <w:t xml:space="preserve">ERMS AND </w:t>
      </w:r>
      <w:r>
        <w:rPr>
          <w:b/>
          <w:bCs/>
        </w:rPr>
        <w:t>C</w:t>
      </w:r>
      <w:r>
        <w:rPr>
          <w:b/>
          <w:bCs/>
          <w:sz w:val="20"/>
        </w:rPr>
        <w:t>ONDITIONS</w:t>
      </w:r>
    </w:p>
    <w:p>
      <w:pPr>
        <w:pStyle w:val="Normal"/>
        <w:jc w:val="center"/>
        <w:rPr>
          <w:b/>
          <w:bCs/>
          <w:sz w:val="20"/>
        </w:rPr>
      </w:pPr>
      <w:r>
        <w:rPr>
          <w:b/>
          <w:bCs/>
          <w:sz w:val="20"/>
        </w:rPr>
      </w:r>
    </w:p>
    <w:p>
      <w:pPr>
        <w:pStyle w:val="BodyText"/>
        <w:rPr/>
      </w:pPr>
      <w:r>
        <w:rPr>
          <w:rPrChange w:id="0" w:author="Unknown" w:date="0-00-00T00:00:00Z"/>
        </w:rPr>
        <w:t xml:space="preserve">The following is a summary of certain terms of the Power Purchase and Supply Agreement (the “Power Purchase Agreement”). </w:t>
      </w:r>
    </w:p>
    <w:p>
      <w:pPr>
        <w:pStyle w:val="Normal"/>
        <w:jc w:val="center"/>
        <w:rPr>
          <w:b/>
          <w:bCs/>
        </w:rPr>
      </w:pPr>
      <w:r>
        <w:rPr>
          <w:b/>
          <w:bCs/>
        </w:rPr>
      </w:r>
    </w:p>
    <w:p>
      <w:pPr>
        <w:pStyle w:val="Normal"/>
        <w:tabs>
          <w:tab w:val="clear" w:pos="720"/>
          <w:tab w:val="left" w:pos="3600" w:leader="none"/>
        </w:tabs>
        <w:ind w:hanging="3690" w:start="3600" w:end="0"/>
        <w:rPr/>
      </w:pPr>
      <w:r>
        <w:rPr>
          <w:b/>
          <w:bCs/>
          <w:sz w:val="22"/>
        </w:rPr>
        <w:t>Commercial Concept</w:t>
        <w:tab/>
      </w:r>
      <w:r>
        <w:rPr>
          <w:sz w:val="22"/>
        </w:rPr>
        <w:t>The Kingman Waste Heat Recovery Facility (“the Facility”) will capture the exhaust heat from Transwestern Station 1 (“the Station”) near Kingman, Arizona from the new GE LM 2500 gas combustion turbine, which will be installed as part of Transwestern’s Red Rock Expansion project, and use it to generate electricity.  The Facility will be owned by NewCo (“NewCo”), a new company engaged in waste heat recovery with non-recourse to Transwestern Pipeline, Enron Transportation Services, or Enron Corp.  Given the nature of this type of electricity generation, NewCo is dependent upon waste heat provided by the Station.</w:t>
      </w:r>
    </w:p>
    <w:p>
      <w:pPr>
        <w:pStyle w:val="Normal"/>
        <w:tabs>
          <w:tab w:val="clear" w:pos="720"/>
          <w:tab w:val="left" w:pos="3600" w:leader="none"/>
        </w:tabs>
        <w:ind w:hanging="3690" w:start="3600" w:end="0"/>
        <w:rPr>
          <w:sz w:val="22"/>
        </w:rPr>
      </w:pPr>
      <w:r>
        <w:rPr>
          <w:sz w:val="22"/>
        </w:rPr>
        <w:t xml:space="preserve"> </w:t>
      </w:r>
    </w:p>
    <w:p>
      <w:pPr>
        <w:pStyle w:val="Normal"/>
        <w:tabs>
          <w:tab w:val="clear" w:pos="720"/>
          <w:tab w:val="left" w:pos="3600" w:leader="none"/>
        </w:tabs>
        <w:ind w:hanging="3690" w:start="3600" w:end="0"/>
        <w:rPr/>
      </w:pPr>
      <w:r>
        <w:rPr>
          <w:b/>
          <w:bCs/>
          <w:sz w:val="22"/>
        </w:rPr>
        <w:t>Seller</w:t>
        <w:tab/>
      </w:r>
      <w:r>
        <w:rPr>
          <w:sz w:val="22"/>
        </w:rPr>
        <w:t xml:space="preserve">NewCo, a special purpose project company chartered to develop, build, own and operate the Facility </w:t>
      </w:r>
    </w:p>
    <w:p>
      <w:pPr>
        <w:pStyle w:val="Normal"/>
        <w:tabs>
          <w:tab w:val="clear" w:pos="720"/>
          <w:tab w:val="left" w:pos="3600" w:leader="none"/>
        </w:tabs>
        <w:ind w:hanging="3690" w:start="3600" w:end="0"/>
        <w:rPr>
          <w:sz w:val="22"/>
        </w:rPr>
      </w:pPr>
      <w:r>
        <w:rPr>
          <w:sz w:val="22"/>
        </w:rPr>
      </w:r>
    </w:p>
    <w:p>
      <w:pPr>
        <w:pStyle w:val="Normal"/>
        <w:tabs>
          <w:tab w:val="clear" w:pos="720"/>
          <w:tab w:val="left" w:pos="3600" w:leader="none"/>
        </w:tabs>
        <w:ind w:hanging="3690" w:start="3600" w:end="0"/>
        <w:rPr/>
      </w:pPr>
      <w:r>
        <w:rPr>
          <w:b/>
          <w:bCs/>
          <w:sz w:val="22"/>
        </w:rPr>
        <w:t>Buyer</w:t>
        <w:tab/>
      </w:r>
      <w:r>
        <w:rPr>
          <w:sz w:val="22"/>
        </w:rPr>
        <w:t>Mohave Electric Cooperative (“the Purchaser”)</w:t>
      </w:r>
    </w:p>
    <w:p>
      <w:pPr>
        <w:pStyle w:val="Normal"/>
        <w:tabs>
          <w:tab w:val="clear" w:pos="720"/>
          <w:tab w:val="left" w:pos="3600" w:leader="none"/>
        </w:tabs>
        <w:ind w:hanging="3690" w:start="3600" w:end="0"/>
        <w:rPr>
          <w:b/>
          <w:bCs/>
          <w:sz w:val="22"/>
        </w:rPr>
      </w:pPr>
      <w:r>
        <w:rPr>
          <w:b/>
          <w:bCs/>
          <w:sz w:val="22"/>
        </w:rPr>
      </w:r>
    </w:p>
    <w:p>
      <w:pPr>
        <w:pStyle w:val="Normal"/>
        <w:tabs>
          <w:tab w:val="clear" w:pos="720"/>
          <w:tab w:val="left" w:pos="3600" w:leader="none"/>
        </w:tabs>
        <w:ind w:hanging="3690" w:start="3600" w:end="0"/>
        <w:rPr/>
      </w:pPr>
      <w:r>
        <w:rPr>
          <w:b/>
          <w:bCs/>
          <w:sz w:val="22"/>
        </w:rPr>
        <w:t>Structure</w:t>
        <w:tab/>
      </w:r>
      <w:r>
        <w:rPr>
          <w:sz w:val="22"/>
        </w:rPr>
        <w:t>Electricity in Megawatt hours (MWh) produced by the plant will be separated into a Base-load Product (“the Base-load Product”)that will be produced continuously and a Dispatchable Product (“the Dispatchable Product”)that will be produced at the request of the Purchaser.</w:t>
      </w:r>
    </w:p>
    <w:p>
      <w:pPr>
        <w:pStyle w:val="Normal"/>
        <w:tabs>
          <w:tab w:val="clear" w:pos="720"/>
          <w:tab w:val="left" w:pos="3600" w:leader="none"/>
        </w:tabs>
        <w:ind w:hanging="3690" w:start="3600" w:end="0"/>
        <w:rPr>
          <w:sz w:val="22"/>
        </w:rPr>
      </w:pPr>
      <w:r>
        <w:rPr>
          <w:sz w:val="22"/>
        </w:rPr>
      </w:r>
    </w:p>
    <w:p>
      <w:pPr>
        <w:pStyle w:val="Normal"/>
        <w:tabs>
          <w:tab w:val="clear" w:pos="720"/>
          <w:tab w:val="left" w:pos="3600" w:leader="none"/>
        </w:tabs>
        <w:ind w:hanging="3690" w:start="3600" w:end="0"/>
        <w:rPr/>
      </w:pPr>
      <w:r>
        <w:rPr>
          <w:b/>
          <w:bCs/>
          <w:sz w:val="22"/>
        </w:rPr>
        <w:t>Term</w:t>
        <w:tab/>
      </w:r>
      <w:r>
        <w:rPr>
          <w:sz w:val="22"/>
        </w:rPr>
        <w:t>The principal commercial obligations under the Power Purchase Agreement will commence on [May 1, 2003] (“the Commercial Start Date”) and continue until [May 1, 2023] (“the Termination Date”).  (Ability to extend the term to be discussed.)</w:t>
      </w:r>
    </w:p>
    <w:p>
      <w:pPr>
        <w:pStyle w:val="Normal"/>
        <w:tabs>
          <w:tab w:val="clear" w:pos="720"/>
          <w:tab w:val="left" w:pos="3600" w:leader="none"/>
        </w:tabs>
        <w:ind w:hanging="3690" w:start="3600" w:end="0"/>
        <w:rPr>
          <w:sz w:val="22"/>
        </w:rPr>
      </w:pPr>
      <w:r>
        <w:rPr>
          <w:sz w:val="22"/>
        </w:rPr>
      </w:r>
    </w:p>
    <w:p>
      <w:pPr>
        <w:pStyle w:val="Normal"/>
        <w:tabs>
          <w:tab w:val="clear" w:pos="720"/>
          <w:tab w:val="left" w:pos="3600" w:leader="none"/>
        </w:tabs>
        <w:ind w:hanging="3690" w:start="3600" w:end="0"/>
        <w:rPr/>
      </w:pPr>
      <w:r>
        <w:rPr>
          <w:b/>
          <w:bCs/>
          <w:sz w:val="22"/>
        </w:rPr>
        <w:t>Price and Payment Terms</w:t>
        <w:tab/>
      </w:r>
      <w:r>
        <w:rPr>
          <w:sz w:val="22"/>
        </w:rPr>
        <w:t>From the Commercial Start Date until the Termination Date, NewCo is entitled to receive a total fixed monthly payment of [$260,000] for the Base-load Product and Dispatchable Product (“the Fixed Monthly Payment”).  In addition, the price of fuel on the Dispatchable Product will be charged to the Purchaser (“the Monthly Fuel Payment”).  This payment will be calculated on the following basis: Fuel Price x Fuel Quantity where, the Fuel Price will be  the sum of the San Juan Basin Gas Price and the Transportation Price (both in $/btu) and the Fuel Quantity will be  the product of the Facility Heat Rate (in btu/kWh) and the Number of Kilowatt Hours Produced.</w:t>
      </w:r>
    </w:p>
    <w:p>
      <w:pPr>
        <w:pStyle w:val="Normal"/>
        <w:tabs>
          <w:tab w:val="clear" w:pos="720"/>
          <w:tab w:val="left" w:pos="3600" w:leader="none"/>
        </w:tabs>
        <w:ind w:hanging="3690" w:start="3600" w:end="0"/>
        <w:rPr>
          <w:sz w:val="22"/>
        </w:rPr>
      </w:pPr>
      <w:r>
        <w:rPr>
          <w:sz w:val="22"/>
        </w:rPr>
      </w:r>
    </w:p>
    <w:p>
      <w:pPr>
        <w:pStyle w:val="Normal"/>
        <w:tabs>
          <w:tab w:val="clear" w:pos="720"/>
          <w:tab w:val="left" w:pos="3600" w:leader="none"/>
        </w:tabs>
        <w:ind w:hanging="3690" w:start="3600" w:end="0"/>
        <w:rPr/>
      </w:pPr>
      <w:r>
        <w:rPr>
          <w:b/>
          <w:bCs/>
          <w:sz w:val="22"/>
        </w:rPr>
        <w:t>Target Plant Performance</w:t>
        <w:tab/>
      </w:r>
      <w:r>
        <w:rPr>
          <w:sz w:val="22"/>
        </w:rPr>
        <w:t>Varies based on the table below:</w:t>
      </w:r>
    </w:p>
    <w:p>
      <w:pPr>
        <w:pStyle w:val="Normal"/>
        <w:tabs>
          <w:tab w:val="clear" w:pos="720"/>
          <w:tab w:val="left" w:pos="3600" w:leader="none"/>
        </w:tabs>
        <w:ind w:hanging="3690" w:start="3600" w:end="0"/>
        <w:rPr>
          <w:sz w:val="22"/>
        </w:rPr>
      </w:pPr>
      <w:r>
        <w:rPr>
          <w:sz w:val="22"/>
        </w:rPr>
      </w:r>
    </w:p>
    <w:tbl>
      <w:tblPr>
        <w:tblW w:w="8478" w:type="dxa"/>
        <w:jc w:val="start"/>
        <w:tblInd w:w="75" w:type="dxa"/>
        <w:tblLayout w:type="fixed"/>
        <w:tblCellMar>
          <w:top w:w="0" w:type="dxa"/>
          <w:start w:w="108" w:type="dxa"/>
          <w:bottom w:w="0" w:type="dxa"/>
          <w:end w:w="108" w:type="dxa"/>
        </w:tblCellMar>
      </w:tblPr>
      <w:tblGrid>
        <w:gridCol w:w="2852"/>
        <w:gridCol w:w="946"/>
        <w:gridCol w:w="990"/>
        <w:gridCol w:w="990"/>
        <w:gridCol w:w="900"/>
        <w:gridCol w:w="900"/>
        <w:gridCol w:w="900"/>
      </w:tblGrid>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jc w:val="both"/>
              <w:rPr>
                <w:sz w:val="24"/>
              </w:rPr>
            </w:pPr>
            <w:r>
              <w:rPr>
                <w:sz w:val="24"/>
              </w:rPr>
            </w:r>
          </w:p>
        </w:tc>
        <w:tc>
          <w:tcPr>
            <w:tcW w:w="5626" w:type="dxa"/>
            <w:gridSpan w:val="6"/>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ind w:start="207" w:end="0"/>
              <w:jc w:val="center"/>
              <w:rPr>
                <w:b/>
                <w:bCs/>
                <w:sz w:val="24"/>
              </w:rPr>
            </w:pPr>
            <w:r>
              <w:rPr>
                <w:b/>
                <w:bCs/>
                <w:sz w:val="24"/>
              </w:rPr>
              <w:t>Ambient Temperature (deg F)</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b/>
                <w:bCs/>
                <w:sz w:val="24"/>
              </w:rPr>
            </w:pPr>
            <w:r>
              <w:rPr>
                <w:b/>
                <w:bCs/>
                <w:sz w:val="24"/>
              </w:rPr>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0-20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20 – 40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40-60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60-80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80-100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sz w:val="24"/>
              </w:rPr>
            </w:pPr>
            <w:r>
              <w:rPr>
                <w:b/>
                <w:bCs/>
                <w:sz w:val="24"/>
              </w:rPr>
              <w:t>&gt;100</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b/>
                <w:bCs/>
                <w:sz w:val="24"/>
              </w:rPr>
            </w:pPr>
            <w:r>
              <w:rPr>
                <w:b/>
                <w:bCs/>
                <w:sz w:val="24"/>
              </w:rPr>
              <w:t>Unfired (MW)</w:t>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8</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9</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9</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8</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7</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6</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b/>
                <w:bCs/>
                <w:sz w:val="24"/>
              </w:rPr>
            </w:pPr>
            <w:r>
              <w:rPr>
                <w:b/>
                <w:bCs/>
                <w:sz w:val="24"/>
              </w:rPr>
              <w:t>Full Duct Firing (MW)</w:t>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15</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15</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14</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14</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14</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13</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b/>
                <w:bCs/>
                <w:sz w:val="24"/>
              </w:rPr>
            </w:pPr>
            <w:r>
              <w:rPr>
                <w:b/>
                <w:bCs/>
                <w:sz w:val="24"/>
              </w:rPr>
              <w:t>Net Dispatchable (MW)</w:t>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7</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6</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5</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6</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7</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7</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b/>
                <w:bCs/>
                <w:sz w:val="24"/>
              </w:rPr>
            </w:pPr>
            <w:r>
              <w:rPr>
                <w:b/>
                <w:bCs/>
                <w:sz w:val="24"/>
              </w:rPr>
              <w:t>Heat Rate on Dispatchable  (btu/kWh)</w:t>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9,100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10,000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11,200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10,500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12,000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12,100</w:t>
            </w:r>
          </w:p>
        </w:tc>
      </w:tr>
      <w:tr>
        <w:trPr/>
        <w:tc>
          <w:tcPr>
            <w:tcW w:w="285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b/>
                <w:bCs/>
                <w:sz w:val="24"/>
              </w:rPr>
            </w:pPr>
            <w:r>
              <w:rPr>
                <w:b/>
                <w:bCs/>
                <w:sz w:val="24"/>
              </w:rPr>
              <w:t>Heat Rate on Full Output (btu/kWh)</w:t>
            </w:r>
          </w:p>
        </w:tc>
        <w:tc>
          <w:tcPr>
            <w:tcW w:w="946"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4,250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4,000</w:t>
            </w:r>
          </w:p>
        </w:tc>
        <w:tc>
          <w:tcPr>
            <w:tcW w:w="9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4,000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4,500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6,000</w:t>
            </w:r>
          </w:p>
        </w:tc>
        <w:tc>
          <w:tcPr>
            <w:tcW w:w="9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sz w:val="24"/>
              </w:rPr>
            </w:pPr>
            <w:r>
              <w:rPr>
                <w:sz w:val="24"/>
              </w:rPr>
              <w:t>6,500</w:t>
            </w:r>
          </w:p>
        </w:tc>
      </w:tr>
    </w:tbl>
    <w:p>
      <w:pPr>
        <w:pStyle w:val="Normal"/>
        <w:tabs>
          <w:tab w:val="clear" w:pos="720"/>
          <w:tab w:val="left" w:pos="3600" w:leader="none"/>
        </w:tabs>
        <w:ind w:hanging="3600" w:start="3600" w:end="0"/>
        <w:rPr/>
      </w:pPr>
      <w:r>
        <w:rPr>
          <w:b/>
          <w:bCs/>
          <w:sz w:val="22"/>
        </w:rPr>
        <w:tab/>
      </w:r>
      <w:r>
        <w:rPr>
          <w:bCs/>
          <w:sz w:val="22"/>
        </w:rPr>
        <w:t>(Materials with regards to maintenance outages, forced outages and anticipated waste heat disruptions to follow.)</w:t>
      </w:r>
    </w:p>
    <w:p>
      <w:pPr>
        <w:pStyle w:val="Normal"/>
        <w:tabs>
          <w:tab w:val="clear" w:pos="720"/>
          <w:tab w:val="left" w:pos="3600" w:leader="none"/>
        </w:tabs>
        <w:ind w:hanging="3690" w:start="3600" w:end="0"/>
        <w:rPr>
          <w:b/>
          <w:bCs/>
          <w:sz w:val="22"/>
        </w:rPr>
      </w:pPr>
      <w:r>
        <w:rPr>
          <w:b/>
          <w:bCs/>
          <w:sz w:val="22"/>
        </w:rPr>
      </w:r>
    </w:p>
    <w:p>
      <w:pPr>
        <w:pStyle w:val="Normal"/>
        <w:tabs>
          <w:tab w:val="clear" w:pos="720"/>
          <w:tab w:val="left" w:pos="3600" w:leader="none"/>
        </w:tabs>
        <w:ind w:hanging="3600" w:start="3600" w:end="0"/>
        <w:rPr/>
      </w:pPr>
      <w:r>
        <w:rPr>
          <w:b/>
          <w:bCs/>
          <w:sz w:val="22"/>
        </w:rPr>
        <w:t>Delivery Point</w:t>
        <w:tab/>
      </w:r>
      <w:r>
        <w:rPr>
          <w:sz w:val="22"/>
        </w:rPr>
        <w:t>The high voltage terminals of Purchaser’s 69 kv Round Valley Substation</w:t>
      </w:r>
    </w:p>
    <w:p>
      <w:pPr>
        <w:pStyle w:val="Normal"/>
        <w:tabs>
          <w:tab w:val="clear" w:pos="720"/>
          <w:tab w:val="left" w:pos="3600" w:leader="none"/>
        </w:tabs>
        <w:ind w:hanging="3690" w:start="3600" w:end="0"/>
        <w:rPr>
          <w:sz w:val="22"/>
        </w:rPr>
      </w:pPr>
      <w:r>
        <w:rPr>
          <w:sz w:val="22"/>
        </w:rPr>
      </w:r>
    </w:p>
    <w:p>
      <w:pPr>
        <w:pStyle w:val="Heading2"/>
        <w:keepNext w:val="true"/>
        <w:tabs>
          <w:tab w:val="clear" w:pos="720"/>
          <w:tab w:val="left" w:pos="3600" w:leader="none"/>
        </w:tabs>
        <w:ind w:hanging="3690" w:start="3600" w:end="0"/>
        <w:rPr/>
      </w:pPr>
      <w:r>
        <w:rPr>
          <w:b/>
          <w:bCs/>
          <w:sz w:val="22"/>
          <w:szCs w:val="22"/>
        </w:rPr>
        <w:t>Supply of Exhaust Heat</w:t>
        <w:tab/>
      </w:r>
      <w:r>
        <w:rPr>
          <w:sz w:val="22"/>
          <w:szCs w:val="22"/>
        </w:rPr>
        <w:t>NewCo will</w:t>
      </w:r>
      <w:r>
        <w:rPr>
          <w:b/>
          <w:bCs/>
          <w:sz w:val="22"/>
          <w:szCs w:val="22"/>
        </w:rPr>
        <w:t xml:space="preserve"> </w:t>
      </w:r>
      <w:r>
        <w:rPr>
          <w:sz w:val="22"/>
          <w:szCs w:val="22"/>
        </w:rPr>
        <w:t>purchase exhaust heat from the Station.   The Station will endeavor to make heat available to NewCo in a manner consistent with the safe and prudent operation of the pipeline and NewCo will exercise best efforts to obtain information from the Station about the on-going availability of waste heat supplies and advance notice of any disruptions.  Given the Facility’s dependence on the Station’s waste heat, in the event that gas throughput in the pipeline declines to an amount no less than [X%] of pipeline capacity, Transwestern will prudently maximize its use of the Station to provide heat to NewCo.  However, should the pipeline’s capacity drop below [X%] (“Below-Capacity Heat”), NewCo will generate power according to the amount of electricity that can be produced through the combination of  Below-Capacity Heat and, at the Purchaser’s option, natural gas firing.  Nevertheless, ongoing waste heat disruptions or extended periods of Below-Capacity Heat will render NewCo incapable of producing electricity and could be events leading to early termination.  In addition, NewCo represents the following performance obligations:</w:t>
      </w:r>
    </w:p>
    <w:p>
      <w:pPr>
        <w:pStyle w:val="Heading2"/>
        <w:keepNext w:val="true"/>
        <w:numPr>
          <w:ilvl w:val="0"/>
          <w:numId w:val="4"/>
        </w:numPr>
        <w:tabs>
          <w:tab w:val="clear" w:pos="720"/>
          <w:tab w:val="left" w:pos="3600" w:leader="none"/>
        </w:tabs>
        <w:rPr>
          <w:bCs/>
          <w:sz w:val="22"/>
        </w:rPr>
      </w:pPr>
      <w:r>
        <w:rPr>
          <w:bCs/>
          <w:sz w:val="22"/>
          <w:szCs w:val="22"/>
        </w:rPr>
        <w:t xml:space="preserve">recover waste heat </w:t>
      </w:r>
      <w:r>
        <w:rPr>
          <w:bCs/>
          <w:sz w:val="22"/>
        </w:rPr>
        <w:t>from the Station in a safe, reliable, efficient and responsible fashion;</w:t>
      </w:r>
    </w:p>
    <w:p>
      <w:pPr>
        <w:pStyle w:val="Normal"/>
        <w:numPr>
          <w:ilvl w:val="0"/>
          <w:numId w:val="4"/>
        </w:numPr>
        <w:rPr>
          <w:sz w:val="22"/>
          <w:szCs w:val="22"/>
        </w:rPr>
      </w:pPr>
      <w:r>
        <w:rPr>
          <w:sz w:val="22"/>
          <w:szCs w:val="22"/>
        </w:rPr>
        <w:t>conform operations to comply with the Station’s requirements for safe and prudent operation of its pipeline;</w:t>
      </w:r>
    </w:p>
    <w:p>
      <w:pPr>
        <w:pStyle w:val="Normal"/>
        <w:numPr>
          <w:ilvl w:val="0"/>
          <w:numId w:val="4"/>
        </w:numPr>
        <w:rPr>
          <w:sz w:val="22"/>
          <w:szCs w:val="22"/>
        </w:rPr>
      </w:pPr>
      <w:r>
        <w:rPr>
          <w:sz w:val="22"/>
          <w:szCs w:val="22"/>
        </w:rPr>
        <w:t>co-ordinate maintenance schedules with the Station in order minimize the scheduled downtime of the Facility</w:t>
      </w:r>
    </w:p>
    <w:p>
      <w:pPr>
        <w:pStyle w:val="Normal"/>
        <w:numPr>
          <w:ilvl w:val="0"/>
          <w:numId w:val="4"/>
        </w:numPr>
        <w:rPr>
          <w:sz w:val="22"/>
          <w:szCs w:val="22"/>
        </w:rPr>
      </w:pPr>
      <w:r>
        <w:rPr>
          <w:sz w:val="22"/>
          <w:szCs w:val="22"/>
        </w:rPr>
        <w:t>co-ordinate maintenance schedules with the Station consistent with the Purchaser’s requirements.</w:t>
      </w:r>
    </w:p>
    <w:p>
      <w:pPr>
        <w:pStyle w:val="Normal"/>
        <w:tabs>
          <w:tab w:val="clear" w:pos="720"/>
          <w:tab w:val="left" w:pos="3600" w:leader="none"/>
        </w:tabs>
        <w:ind w:hanging="3690" w:start="3600" w:end="0"/>
        <w:rPr>
          <w:b/>
          <w:bCs/>
          <w:sz w:val="22"/>
          <w:szCs w:val="22"/>
        </w:rPr>
      </w:pPr>
      <w:r>
        <w:rPr>
          <w:b/>
          <w:bCs/>
          <w:sz w:val="22"/>
          <w:szCs w:val="22"/>
        </w:rPr>
      </w:r>
    </w:p>
    <w:p>
      <w:pPr>
        <w:pStyle w:val="Normal"/>
        <w:tabs>
          <w:tab w:val="clear" w:pos="720"/>
          <w:tab w:val="left" w:pos="3600" w:leader="none"/>
        </w:tabs>
        <w:ind w:hanging="3690" w:start="3600" w:end="0"/>
        <w:rPr/>
      </w:pPr>
      <w:r>
        <w:rPr>
          <w:b/>
          <w:bCs/>
          <w:sz w:val="22"/>
        </w:rPr>
        <w:t>NewCo Responsibilities</w:t>
        <w:tab/>
      </w:r>
      <w:r>
        <w:rPr>
          <w:sz w:val="22"/>
        </w:rPr>
        <w:t>NewCo will:</w:t>
      </w:r>
    </w:p>
    <w:p>
      <w:pPr>
        <w:pStyle w:val="Normal"/>
        <w:numPr>
          <w:ilvl w:val="0"/>
          <w:numId w:val="2"/>
        </w:numPr>
        <w:tabs>
          <w:tab w:val="clear" w:pos="720"/>
          <w:tab w:val="left" w:pos="3600" w:leader="none"/>
        </w:tabs>
        <w:rPr>
          <w:sz w:val="22"/>
        </w:rPr>
      </w:pPr>
      <w:r>
        <w:rPr>
          <w:sz w:val="22"/>
        </w:rPr>
        <w:t>act as a Reasonable and Prudent Operator (“RPO”);</w:t>
      </w:r>
    </w:p>
    <w:p>
      <w:pPr>
        <w:pStyle w:val="Normal"/>
        <w:numPr>
          <w:ilvl w:val="0"/>
          <w:numId w:val="2"/>
        </w:numPr>
        <w:tabs>
          <w:tab w:val="clear" w:pos="720"/>
          <w:tab w:val="left" w:pos="3600" w:leader="none"/>
        </w:tabs>
        <w:rPr>
          <w:sz w:val="22"/>
        </w:rPr>
      </w:pPr>
      <w:r>
        <w:rPr>
          <w:sz w:val="22"/>
        </w:rPr>
        <w:t>obtain (or procure the obtaining of) and use reasonable endeavors to maintain (or procure the maintaining of) generation licenses and all necessary consents to enable it to observe and perform its obligations under and in accordance with the Power Purchase Agreement;</w:t>
      </w:r>
    </w:p>
    <w:p>
      <w:pPr>
        <w:pStyle w:val="Normal"/>
        <w:numPr>
          <w:ilvl w:val="0"/>
          <w:numId w:val="2"/>
        </w:numPr>
        <w:tabs>
          <w:tab w:val="clear" w:pos="720"/>
          <w:tab w:val="left" w:pos="3600" w:leader="none"/>
        </w:tabs>
        <w:rPr>
          <w:sz w:val="22"/>
        </w:rPr>
      </w:pPr>
      <w:r>
        <w:rPr>
          <w:sz w:val="22"/>
        </w:rPr>
        <w:t>use reasonable endeavors to comply with its rights under all contracts pertaining to this transaction.</w:t>
      </w:r>
    </w:p>
    <w:p>
      <w:pPr>
        <w:pStyle w:val="Normal"/>
        <w:tabs>
          <w:tab w:val="clear" w:pos="720"/>
          <w:tab w:val="left" w:pos="3600" w:leader="none"/>
        </w:tabs>
        <w:rPr>
          <w:b/>
          <w:bCs/>
          <w:sz w:val="22"/>
        </w:rPr>
      </w:pPr>
      <w:r>
        <w:rPr>
          <w:b/>
          <w:bCs/>
          <w:sz w:val="22"/>
        </w:rPr>
      </w:r>
    </w:p>
    <w:p>
      <w:pPr>
        <w:pStyle w:val="Normal"/>
        <w:tabs>
          <w:tab w:val="clear" w:pos="720"/>
          <w:tab w:val="left" w:pos="3600" w:leader="none"/>
        </w:tabs>
        <w:ind w:hanging="3600" w:start="3600" w:end="0"/>
        <w:rPr/>
      </w:pPr>
      <w:r>
        <w:rPr>
          <w:b/>
          <w:bCs/>
          <w:sz w:val="22"/>
        </w:rPr>
        <w:t>Operation of the Facility</w:t>
        <w:tab/>
      </w:r>
      <w:r>
        <w:rPr>
          <w:sz w:val="22"/>
        </w:rPr>
        <w:t>Provided that the Purchaser has paid the Fixed Monthly Payment and Monthly Fuel Payment and an event of default (as described below) has not occurred in respect of the Purchaser, NewCo will operate the Facility solely in accordance with the Purchaser’s instructions and to:</w:t>
      </w:r>
    </w:p>
    <w:p>
      <w:pPr>
        <w:pStyle w:val="Normal"/>
        <w:tabs>
          <w:tab w:val="clear" w:pos="720"/>
          <w:tab w:val="left" w:pos="3600" w:leader="none"/>
        </w:tabs>
        <w:ind w:hanging="3600" w:start="3600" w:end="0"/>
        <w:rPr>
          <w:sz w:val="22"/>
        </w:rPr>
      </w:pPr>
      <w:r>
        <w:rPr>
          <w:sz w:val="22"/>
        </w:rPr>
      </w:r>
    </w:p>
    <w:p>
      <w:pPr>
        <w:pStyle w:val="Normal"/>
        <w:numPr>
          <w:ilvl w:val="0"/>
          <w:numId w:val="7"/>
        </w:numPr>
        <w:tabs>
          <w:tab w:val="clear" w:pos="720"/>
          <w:tab w:val="left" w:pos="3600" w:leader="none"/>
        </w:tabs>
        <w:rPr>
          <w:sz w:val="22"/>
        </w:rPr>
      </w:pPr>
      <w:r>
        <w:rPr>
          <w:sz w:val="22"/>
        </w:rPr>
        <w:t>operate the Facility in a safe and reliable manner as a RPO, so as to comply with various agreements and consents, all applicable laws and regulations, the insurances and any operating constraints set out in any other consents, any reasonable emergency procedures and so as not to prejudice any warranties given by the Contractors;</w:t>
      </w:r>
    </w:p>
    <w:p>
      <w:pPr>
        <w:pStyle w:val="Normal"/>
        <w:numPr>
          <w:ilvl w:val="0"/>
          <w:numId w:val="7"/>
        </w:numPr>
        <w:tabs>
          <w:tab w:val="clear" w:pos="720"/>
          <w:tab w:val="left" w:pos="3600" w:leader="none"/>
        </w:tabs>
        <w:rPr>
          <w:sz w:val="22"/>
        </w:rPr>
      </w:pPr>
      <w:r>
        <w:rPr>
          <w:sz w:val="22"/>
        </w:rPr>
        <w:t>operate and maintain the Facility so as to achieve at least the Target Availability, Target Reliability and the Target Heat Rate;</w:t>
      </w:r>
    </w:p>
    <w:p>
      <w:pPr>
        <w:pStyle w:val="Normal"/>
        <w:numPr>
          <w:ilvl w:val="0"/>
          <w:numId w:val="7"/>
        </w:numPr>
        <w:tabs>
          <w:tab w:val="clear" w:pos="720"/>
          <w:tab w:val="left" w:pos="3600" w:leader="none"/>
        </w:tabs>
        <w:rPr>
          <w:sz w:val="22"/>
        </w:rPr>
      </w:pPr>
      <w:r>
        <w:rPr>
          <w:sz w:val="22"/>
        </w:rPr>
        <w:t>operate the Facility Station according to the waste heat standards discussed within the guidelines set out in the “Supply of Waste Heat” section.</w:t>
      </w:r>
    </w:p>
    <w:p>
      <w:pPr>
        <w:pStyle w:val="Normal"/>
        <w:tabs>
          <w:tab w:val="clear" w:pos="720"/>
          <w:tab w:val="left" w:pos="3600" w:leader="none"/>
        </w:tabs>
        <w:rPr>
          <w:sz w:val="22"/>
        </w:rPr>
      </w:pPr>
      <w:r>
        <w:rPr>
          <w:sz w:val="22"/>
        </w:rPr>
      </w:r>
    </w:p>
    <w:p>
      <w:pPr>
        <w:pStyle w:val="Normal"/>
        <w:tabs>
          <w:tab w:val="clear" w:pos="720"/>
          <w:tab w:val="left" w:pos="3600" w:leader="none"/>
        </w:tabs>
        <w:ind w:hanging="3600" w:start="3600" w:end="0"/>
        <w:rPr/>
      </w:pPr>
      <w:r>
        <w:rPr>
          <w:b/>
          <w:bCs/>
          <w:sz w:val="22"/>
        </w:rPr>
        <w:t>Insurance</w:t>
        <w:tab/>
      </w:r>
      <w:r>
        <w:rPr>
          <w:sz w:val="22"/>
        </w:rPr>
        <w:t>NewCo will and maintain certain insurances, including business interruption insurance on certain specified terms and otherwise on terms and with an insurer or insurers acceptable to a RPO save only to the extent that any such insurances (a) are not available at commercially reasonable rates or (b) are no longer material in the context of the Power Purchase Agreement or (c) would no longer be considered to be appropriate by a RPO.</w:t>
      </w:r>
    </w:p>
    <w:p>
      <w:pPr>
        <w:pStyle w:val="Normal"/>
        <w:tabs>
          <w:tab w:val="clear" w:pos="720"/>
          <w:tab w:val="left" w:pos="3600" w:leader="none"/>
        </w:tabs>
        <w:ind w:hanging="3600" w:start="3600" w:end="0"/>
        <w:rPr>
          <w:b/>
          <w:bCs/>
          <w:sz w:val="22"/>
        </w:rPr>
      </w:pPr>
      <w:r>
        <w:rPr>
          <w:b/>
          <w:bCs/>
          <w:sz w:val="22"/>
        </w:rPr>
        <w:t>Changes in Circumstances</w:t>
      </w:r>
    </w:p>
    <w:p>
      <w:pPr>
        <w:pStyle w:val="Normal"/>
        <w:tabs>
          <w:tab w:val="clear" w:pos="720"/>
          <w:tab w:val="left" w:pos="3600" w:leader="none"/>
        </w:tabs>
        <w:ind w:hanging="3600" w:start="3600" w:end="0"/>
        <w:rPr>
          <w:b/>
          <w:bCs/>
          <w:sz w:val="22"/>
        </w:rPr>
      </w:pPr>
      <w:r>
        <w:rPr>
          <w:b/>
          <w:bCs/>
          <w:sz w:val="22"/>
        </w:rPr>
      </w:r>
    </w:p>
    <w:p>
      <w:pPr>
        <w:pStyle w:val="Normal"/>
        <w:tabs>
          <w:tab w:val="clear" w:pos="720"/>
          <w:tab w:val="left" w:pos="3600" w:leader="none"/>
        </w:tabs>
        <w:ind w:hanging="3600" w:start="3600" w:end="0"/>
        <w:rPr/>
      </w:pPr>
      <w:r>
        <w:rPr>
          <w:b/>
          <w:bCs/>
          <w:sz w:val="22"/>
        </w:rPr>
        <w:t>(a) Relevant Change</w:t>
        <w:tab/>
      </w:r>
      <w:r>
        <w:rPr>
          <w:sz w:val="22"/>
        </w:rPr>
        <w:t>In the event that NewCo incurs material (meaning [$50,000] or more in any Contract Year) additional costs or savings in relation to the Facility as result of specified changes of law after execution of the Power Purchase Agreement, the additional costs or savings are passed through to the Purchaser by an adjustment to the Monthly Fixed Payment.  However, any increased costs or savings are ignored if they do not affect operators of similar plants.  NewCo is obliged, acting as a RPO, to minimize any such increased costs and /or maximize savings in relation to the Facility.</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pPr>
      <w:r>
        <w:rPr>
          <w:b/>
          <w:bCs/>
          <w:sz w:val="22"/>
        </w:rPr>
        <w:t>(b) Change of Law</w:t>
        <w:tab/>
      </w:r>
      <w:r>
        <w:rPr>
          <w:sz w:val="22"/>
        </w:rPr>
        <w:t>During the term of the Power Purchase Agreement, any Change of Law or change to the terms of the ancillary agreements relating to the transport of natural gas to the Facility which materially affects the Power Purchase Agreement or the ability of either NewCo or the Purchaser to fulfill its obligations under the Power Purchase Agreement, will oblige both parties to meet, discuss and agree in good faith any amendments to the Power Purchase Agreement that may be required in order to maintain, so far as is practicable, the commercial relationship between the parties that existed prior to the change.</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b/>
          <w:bCs/>
          <w:sz w:val="22"/>
        </w:rPr>
      </w:pPr>
      <w:r>
        <w:rPr>
          <w:b/>
          <w:bCs/>
          <w:sz w:val="22"/>
        </w:rPr>
        <w:t>Planned Maintenance and</w:t>
      </w:r>
    </w:p>
    <w:p>
      <w:pPr>
        <w:pStyle w:val="Heading1"/>
        <w:rPr>
          <w:sz w:val="22"/>
        </w:rPr>
      </w:pPr>
      <w:r>
        <w:rPr>
          <w:sz w:val="22"/>
        </w:rPr>
        <w:t>Approval of Operating Plans</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pPr>
      <w:r>
        <w:rPr>
          <w:b/>
          <w:bCs/>
          <w:sz w:val="22"/>
        </w:rPr>
        <w:t>(a) Planned Maintenance</w:t>
        <w:tab/>
      </w:r>
      <w:r>
        <w:rPr>
          <w:sz w:val="22"/>
        </w:rPr>
        <w:t>NewCo will propose the planned maintenance schedule for the following Contract Year not later than [60] days before the beginning of that Contract Year and NewCo is obliged to use all reasonable endeavors to take into account in such plan the Purchaser’s proposal for the timing of maintenance notified to NewCo not later than [150] days before the beginning of the Contract Year.</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b/>
          <w:bCs/>
          <w:sz w:val="22"/>
        </w:rPr>
      </w:pPr>
      <w:r>
        <w:rPr>
          <w:b/>
          <w:bCs/>
          <w:sz w:val="22"/>
        </w:rPr>
        <w:t xml:space="preserve">(b) Approval of Annual </w:t>
      </w:r>
    </w:p>
    <w:p>
      <w:pPr>
        <w:pStyle w:val="Normal"/>
        <w:tabs>
          <w:tab w:val="clear" w:pos="720"/>
          <w:tab w:val="left" w:pos="3600" w:leader="none"/>
        </w:tabs>
        <w:ind w:hanging="3600" w:start="3600" w:end="0"/>
        <w:rPr/>
      </w:pPr>
      <w:r>
        <w:rPr>
          <w:b/>
          <w:bCs/>
          <w:sz w:val="22"/>
        </w:rPr>
        <w:t>Operating Plans</w:t>
        <w:tab/>
      </w:r>
      <w:r>
        <w:rPr>
          <w:sz w:val="22"/>
        </w:rPr>
        <w:t>NewCo has agreed to take such action as the Purchaser requires to incorporate the requirements of or any subsequent amendments requested by the Purchaser and to take such action as the Purchaser requests on any matter affecting the approval of or variation to the maintenance plan.  The Purchaser may have exclusive conduct of any proceedings relating to such a matter on the basis that the Purchaser fully indemnifies the NewCo.</w:t>
      </w:r>
    </w:p>
    <w:p>
      <w:pPr>
        <w:pStyle w:val="Normal"/>
        <w:tabs>
          <w:tab w:val="clear" w:pos="720"/>
          <w:tab w:val="left" w:pos="3600" w:leader="none"/>
        </w:tabs>
        <w:ind w:hanging="3600" w:start="3600" w:end="0"/>
        <w:rPr>
          <w:sz w:val="22"/>
        </w:rPr>
      </w:pPr>
      <w:r>
        <w:rPr>
          <w:sz w:val="22"/>
        </w:rPr>
      </w:r>
    </w:p>
    <w:p>
      <w:pPr>
        <w:pStyle w:val="Heading1"/>
        <w:rPr>
          <w:sz w:val="22"/>
        </w:rPr>
      </w:pPr>
      <w:r>
        <w:rPr>
          <w:sz w:val="22"/>
        </w:rPr>
        <w:t>Event of Default and Termination</w:t>
      </w:r>
    </w:p>
    <w:p>
      <w:pPr>
        <w:pStyle w:val="Normal"/>
        <w:tabs>
          <w:tab w:val="clear" w:pos="720"/>
          <w:tab w:val="left" w:pos="3600" w:leader="none"/>
        </w:tabs>
        <w:rPr>
          <w:b/>
          <w:bCs/>
          <w:sz w:val="22"/>
        </w:rPr>
      </w:pPr>
      <w:r>
        <w:rPr>
          <w:b/>
          <w:bCs/>
          <w:sz w:val="22"/>
        </w:rPr>
      </w:r>
    </w:p>
    <w:p>
      <w:pPr>
        <w:pStyle w:val="Normal"/>
        <w:tabs>
          <w:tab w:val="clear" w:pos="720"/>
          <w:tab w:val="left" w:pos="3600" w:leader="none"/>
        </w:tabs>
        <w:rPr>
          <w:b/>
          <w:bCs/>
          <w:sz w:val="22"/>
        </w:rPr>
      </w:pPr>
      <w:r>
        <w:rPr>
          <w:b/>
          <w:bCs/>
          <w:sz w:val="22"/>
        </w:rPr>
        <w:t>(a) Events Constituting Events</w:t>
      </w:r>
    </w:p>
    <w:p>
      <w:pPr>
        <w:pStyle w:val="Normal"/>
        <w:tabs>
          <w:tab w:val="clear" w:pos="720"/>
          <w:tab w:val="left" w:pos="3600" w:leader="none"/>
        </w:tabs>
        <w:ind w:hanging="3600" w:start="3600" w:end="0"/>
        <w:rPr/>
      </w:pPr>
      <w:r>
        <w:rPr>
          <w:b/>
          <w:bCs/>
          <w:sz w:val="22"/>
        </w:rPr>
        <w:t>of Default</w:t>
        <w:tab/>
      </w:r>
      <w:r>
        <w:rPr>
          <w:sz w:val="22"/>
        </w:rPr>
        <w:t>The occurrence of any of the following circumstances in respect of either party (the “Defaulting Party”) is an event of default:</w:t>
      </w:r>
    </w:p>
    <w:p>
      <w:pPr>
        <w:pStyle w:val="Normal"/>
        <w:numPr>
          <w:ilvl w:val="0"/>
          <w:numId w:val="5"/>
        </w:numPr>
        <w:tabs>
          <w:tab w:val="clear" w:pos="720"/>
          <w:tab w:val="left" w:pos="3600" w:leader="none"/>
        </w:tabs>
        <w:rPr>
          <w:sz w:val="22"/>
        </w:rPr>
      </w:pPr>
      <w:r>
        <w:rPr>
          <w:sz w:val="22"/>
        </w:rPr>
        <w:t>the making of an order of a competent court or the passing of an effective resolution for winding up or dissolution of the Purchaser other than for the purpose of a reconstruction or amalgamation previously approved in writing by NewCo; or</w:t>
      </w:r>
    </w:p>
    <w:p>
      <w:pPr>
        <w:pStyle w:val="Normal"/>
        <w:numPr>
          <w:ilvl w:val="0"/>
          <w:numId w:val="5"/>
        </w:numPr>
        <w:tabs>
          <w:tab w:val="clear" w:pos="720"/>
          <w:tab w:val="left" w:pos="3600" w:leader="none"/>
        </w:tabs>
        <w:rPr>
          <w:sz w:val="22"/>
        </w:rPr>
      </w:pPr>
      <w:r>
        <w:rPr>
          <w:sz w:val="22"/>
        </w:rPr>
        <w:t>the initiation of proceedings under any applicable bankruptcy, reorganization, composition or insolvency law by or against the Defaulting Party; or</w:t>
      </w:r>
    </w:p>
    <w:p>
      <w:pPr>
        <w:pStyle w:val="Normal"/>
        <w:numPr>
          <w:ilvl w:val="0"/>
          <w:numId w:val="5"/>
        </w:numPr>
        <w:tabs>
          <w:tab w:val="clear" w:pos="720"/>
          <w:tab w:val="left" w:pos="3600" w:leader="none"/>
        </w:tabs>
        <w:rPr>
          <w:sz w:val="22"/>
        </w:rPr>
      </w:pPr>
      <w:r>
        <w:rPr>
          <w:sz w:val="22"/>
        </w:rPr>
        <w:t>default in the punctual payment of any undisputed amount properly due by one party to the other party under the Power Purchase Agreement; or</w:t>
      </w:r>
    </w:p>
    <w:p>
      <w:pPr>
        <w:pStyle w:val="Normal"/>
        <w:numPr>
          <w:ilvl w:val="0"/>
          <w:numId w:val="5"/>
        </w:numPr>
        <w:tabs>
          <w:tab w:val="clear" w:pos="720"/>
          <w:tab w:val="left" w:pos="3600" w:leader="none"/>
        </w:tabs>
        <w:rPr>
          <w:sz w:val="22"/>
        </w:rPr>
      </w:pPr>
      <w:r>
        <w:rPr>
          <w:sz w:val="22"/>
        </w:rPr>
        <w:t>a breach of the Power Purchase Agreement which is material in the context of the Power Purchase Agreement overall, or any representation made or warranty given by the Defaulting Party that proves to have been materially incorrect or materially misleading when made and, if such breach of the Power Purchase Agreement or representation or warranty continues to be material and is capable of remedy within [60] days, is not remedied within [60] days after notice of that breach has been received by the relevant party.</w:t>
      </w:r>
    </w:p>
    <w:p>
      <w:pPr>
        <w:pStyle w:val="Normal"/>
        <w:tabs>
          <w:tab w:val="clear" w:pos="720"/>
          <w:tab w:val="left" w:pos="3600" w:leader="none"/>
        </w:tabs>
        <w:ind w:start="3600" w:end="0"/>
        <w:rPr>
          <w:sz w:val="22"/>
        </w:rPr>
      </w:pPr>
      <w:r>
        <w:rPr>
          <w:sz w:val="22"/>
        </w:rPr>
      </w:r>
    </w:p>
    <w:p>
      <w:pPr>
        <w:pStyle w:val="Normal"/>
        <w:tabs>
          <w:tab w:val="clear" w:pos="720"/>
          <w:tab w:val="left" w:pos="3600" w:leader="none"/>
        </w:tabs>
        <w:ind w:hanging="3600" w:start="3600" w:end="0"/>
        <w:rPr/>
      </w:pPr>
      <w:r>
        <w:rPr>
          <w:b/>
          <w:bCs/>
          <w:sz w:val="22"/>
        </w:rPr>
        <w:t>(b) Notice of Event of Default</w:t>
        <w:tab/>
      </w:r>
      <w:r>
        <w:rPr>
          <w:sz w:val="22"/>
        </w:rPr>
        <w:t>Each party undertakes promptly to notify the other of any occurrence which constitutes (or may constitute) and event of default.  Upon an event of default referred to in (i) and (ii) the Power Purchase Agreement may be immediately terminated on the giving of notice to the Defaulting Party.  Upon an event of default referred to in (iii) and (iv), the other party may, by notice to the Defaulting Party elect to terminate the Power Purchase Agreement within five days of the date such notice is given.</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pPr>
      <w:r>
        <w:rPr>
          <w:b/>
          <w:bCs/>
          <w:sz w:val="22"/>
        </w:rPr>
        <w:t>(c) Consequences of Termination</w:t>
        <w:tab/>
      </w:r>
      <w:r>
        <w:rPr>
          <w:sz w:val="22"/>
        </w:rPr>
        <w:t xml:space="preserve"> Mutually agreeable terms and conditions to be developed through further discussion between Buyer and Seller.</w:t>
      </w:r>
    </w:p>
    <w:p>
      <w:pPr>
        <w:pStyle w:val="Normal"/>
        <w:tabs>
          <w:tab w:val="clear" w:pos="720"/>
          <w:tab w:val="left" w:pos="3600" w:leader="none"/>
        </w:tabs>
        <w:ind w:hanging="3600" w:start="3600" w:end="0"/>
        <w:rPr>
          <w:sz w:val="22"/>
        </w:rPr>
      </w:pPr>
      <w:r>
        <w:rPr>
          <w:sz w:val="22"/>
        </w:rPr>
      </w:r>
    </w:p>
    <w:p>
      <w:pPr>
        <w:pStyle w:val="Normal"/>
        <w:tabs>
          <w:tab w:val="clear" w:pos="720"/>
          <w:tab w:val="left" w:pos="3600" w:leader="none"/>
        </w:tabs>
        <w:ind w:hanging="3600" w:start="3600" w:end="0"/>
        <w:rPr>
          <w:b/>
          <w:bCs/>
          <w:sz w:val="22"/>
        </w:rPr>
      </w:pPr>
      <w:r>
        <w:rPr>
          <w:b/>
          <w:bCs/>
          <w:sz w:val="22"/>
        </w:rPr>
        <w:t>(d) Termination for Illegality</w:t>
      </w:r>
    </w:p>
    <w:p>
      <w:pPr>
        <w:pStyle w:val="Normal"/>
        <w:tabs>
          <w:tab w:val="clear" w:pos="720"/>
          <w:tab w:val="left" w:pos="3600" w:leader="none"/>
        </w:tabs>
        <w:ind w:hanging="3600" w:start="3600" w:end="0"/>
        <w:rPr/>
      </w:pPr>
      <w:r>
        <w:rPr>
          <w:b/>
          <w:bCs/>
          <w:sz w:val="22"/>
        </w:rPr>
        <w:t>or Unenforceability</w:t>
        <w:tab/>
      </w:r>
      <w:r>
        <w:rPr>
          <w:sz w:val="22"/>
        </w:rPr>
        <w:t>Any change of law rendering the Power Purchase Agreement or its performance illegal or unenforceable will, subject to the procedures described in Changes in Circumstance (b) having not rendered the Power Purchase Agreement or its performance legal or enforceable, entitle either party to terminate the Power Purchase Agreement.</w:t>
      </w:r>
    </w:p>
    <w:p>
      <w:pPr>
        <w:pStyle w:val="Normal"/>
        <w:tabs>
          <w:tab w:val="clear" w:pos="720"/>
          <w:tab w:val="left" w:pos="3600" w:leader="none"/>
        </w:tabs>
        <w:ind w:hanging="3600" w:start="3600" w:end="0"/>
        <w:rPr>
          <w:sz w:val="22"/>
        </w:rPr>
      </w:pPr>
      <w:r>
        <w:rPr>
          <w:sz w:val="22"/>
        </w:rPr>
      </w:r>
    </w:p>
    <w:p>
      <w:pPr>
        <w:pStyle w:val="Heading1"/>
        <w:rPr>
          <w:sz w:val="22"/>
        </w:rPr>
      </w:pPr>
      <w:r>
        <w:rPr>
          <w:sz w:val="22"/>
        </w:rPr>
        <w:t>Force Majeure</w:t>
      </w:r>
    </w:p>
    <w:p>
      <w:pPr>
        <w:pStyle w:val="Normal"/>
        <w:tabs>
          <w:tab w:val="clear" w:pos="720"/>
          <w:tab w:val="left" w:pos="3600" w:leader="none"/>
        </w:tabs>
        <w:ind w:hanging="3600" w:start="3600" w:end="0"/>
        <w:rPr>
          <w:b/>
          <w:bCs/>
          <w:sz w:val="22"/>
        </w:rPr>
      </w:pPr>
      <w:r>
        <w:rPr>
          <w:b/>
          <w:bCs/>
          <w:sz w:val="22"/>
        </w:rPr>
      </w:r>
    </w:p>
    <w:p>
      <w:pPr>
        <w:pStyle w:val="Normal"/>
        <w:tabs>
          <w:tab w:val="clear" w:pos="720"/>
          <w:tab w:val="left" w:pos="3600" w:leader="none"/>
        </w:tabs>
        <w:ind w:hanging="3600" w:start="3600" w:end="0"/>
        <w:rPr/>
      </w:pPr>
      <w:r>
        <w:rPr>
          <w:b/>
          <w:bCs/>
          <w:sz w:val="22"/>
        </w:rPr>
        <w:t>(a) Force Majeure</w:t>
        <w:tab/>
      </w:r>
      <w:r>
        <w:rPr>
          <w:sz w:val="22"/>
        </w:rPr>
        <w:t>Force Majeure is broadly defined as an event, the occurrence of which is beyond the control of NewCo or the Purchaser which has a material effect upon the Station or prevents NewCo or the Purchaser from complying with its obligations under the Power Purchase Agreement.  This definition is subject to certain exceptions including:</w:t>
      </w:r>
    </w:p>
    <w:p>
      <w:pPr>
        <w:pStyle w:val="BodyTextIndent"/>
        <w:numPr>
          <w:ilvl w:val="0"/>
          <w:numId w:val="6"/>
        </w:numPr>
        <w:rPr>
          <w:sz w:val="22"/>
        </w:rPr>
      </w:pPr>
      <w:r>
        <w:rPr>
          <w:sz w:val="22"/>
        </w:rPr>
        <w:t>strikes or other industrial action solely by the employees of NewCo or the Purchaser, their affiliates or the operator of the Station or their respective agents, contractors or sub-contractors;</w:t>
      </w:r>
    </w:p>
    <w:p>
      <w:pPr>
        <w:pStyle w:val="Normal"/>
        <w:numPr>
          <w:ilvl w:val="0"/>
          <w:numId w:val="6"/>
        </w:numPr>
        <w:tabs>
          <w:tab w:val="clear" w:pos="720"/>
          <w:tab w:val="left" w:pos="3600" w:leader="none"/>
        </w:tabs>
        <w:rPr>
          <w:sz w:val="22"/>
        </w:rPr>
      </w:pPr>
      <w:r>
        <w:rPr>
          <w:sz w:val="22"/>
        </w:rPr>
        <w:t>lack of funds; and</w:t>
      </w:r>
    </w:p>
    <w:p>
      <w:pPr>
        <w:pStyle w:val="Normal"/>
        <w:numPr>
          <w:ilvl w:val="0"/>
          <w:numId w:val="6"/>
        </w:numPr>
        <w:tabs>
          <w:tab w:val="clear" w:pos="720"/>
          <w:tab w:val="left" w:pos="3600" w:leader="none"/>
        </w:tabs>
        <w:rPr>
          <w:sz w:val="22"/>
        </w:rPr>
      </w:pPr>
      <w:r>
        <w:rPr>
          <w:sz w:val="22"/>
        </w:rPr>
        <w:t>accidental damage, breakdown or failure of any plant, machinery or equipment within the Station or any total restriction on the performance of the Station caused by factors external to the Station which could have been prevented or avoided by a RPO.</w:t>
      </w:r>
    </w:p>
    <w:p>
      <w:pPr>
        <w:pStyle w:val="Normal"/>
        <w:tabs>
          <w:tab w:val="clear" w:pos="720"/>
          <w:tab w:val="left" w:pos="3600" w:leader="none"/>
        </w:tabs>
        <w:rPr>
          <w:sz w:val="22"/>
        </w:rPr>
      </w:pPr>
      <w:r>
        <w:rPr>
          <w:sz w:val="22"/>
        </w:rPr>
      </w:r>
    </w:p>
    <w:p>
      <w:pPr>
        <w:pStyle w:val="Normal"/>
        <w:tabs>
          <w:tab w:val="clear" w:pos="720"/>
          <w:tab w:val="left" w:pos="3600" w:leader="none"/>
        </w:tabs>
        <w:ind w:hanging="3600" w:start="3600" w:end="0"/>
        <w:rPr>
          <w:b/>
          <w:bCs/>
          <w:sz w:val="22"/>
        </w:rPr>
      </w:pPr>
      <w:r>
        <w:rPr>
          <w:b/>
          <w:bCs/>
          <w:sz w:val="22"/>
        </w:rPr>
        <w:t xml:space="preserve">(b) Consequences of Force </w:t>
      </w:r>
    </w:p>
    <w:p>
      <w:pPr>
        <w:pStyle w:val="Normal"/>
        <w:tabs>
          <w:tab w:val="clear" w:pos="720"/>
          <w:tab w:val="left" w:pos="3600" w:leader="none"/>
        </w:tabs>
        <w:ind w:hanging="3600" w:start="3600" w:end="0"/>
        <w:rPr/>
      </w:pPr>
      <w:r>
        <w:rPr>
          <w:b/>
          <w:bCs/>
          <w:sz w:val="22"/>
        </w:rPr>
        <w:t>Majeure</w:t>
        <w:tab/>
      </w:r>
      <w:r>
        <w:rPr>
          <w:sz w:val="22"/>
        </w:rPr>
        <w:t>The consequences of an event of force majeure are that NewCo or the Purchaser is excused from liability for failing to perform to the extent force majeure but the force majeure shall:</w:t>
      </w:r>
    </w:p>
    <w:p>
      <w:pPr>
        <w:pStyle w:val="Normal"/>
        <w:numPr>
          <w:ilvl w:val="0"/>
          <w:numId w:val="3"/>
        </w:numPr>
        <w:tabs>
          <w:tab w:val="clear" w:pos="720"/>
          <w:tab w:val="left" w:pos="3600" w:leader="none"/>
        </w:tabs>
        <w:rPr>
          <w:sz w:val="22"/>
        </w:rPr>
      </w:pPr>
      <w:r>
        <w:rPr>
          <w:sz w:val="22"/>
        </w:rPr>
        <w:t>not entitle the NewCo or the Purchaser to withhold any payment due prior to the force majeure;</w:t>
      </w:r>
    </w:p>
    <w:p>
      <w:pPr>
        <w:pStyle w:val="Normal"/>
        <w:numPr>
          <w:ilvl w:val="0"/>
          <w:numId w:val="3"/>
        </w:numPr>
        <w:tabs>
          <w:tab w:val="clear" w:pos="720"/>
          <w:tab w:val="left" w:pos="3600" w:leader="none"/>
        </w:tabs>
        <w:rPr/>
      </w:pPr>
      <w:r>
        <w:rPr>
          <w:sz w:val="22"/>
        </w:rPr>
        <w:t>result in a reduction of Actual Availability.</w:t>
      </w:r>
    </w:p>
    <w:p>
      <w:pPr>
        <w:pStyle w:val="Header"/>
        <w:tabs>
          <w:tab w:val="clear" w:pos="4320"/>
          <w:tab w:val="clear" w:pos="8640"/>
        </w:tabs>
        <w:rPr>
          <w:b/>
        </w:rPr>
      </w:pPr>
      <w:r>
        <w:rPr>
          <w:b/>
        </w:rPr>
      </w:r>
    </w:p>
    <w:p>
      <w:pPr>
        <w:pStyle w:val="Header"/>
        <w:tabs>
          <w:tab w:val="clear" w:pos="4320"/>
          <w:tab w:val="clear" w:pos="8640"/>
        </w:tabs>
        <w:rPr>
          <w:b/>
        </w:rPr>
      </w:pPr>
      <w:r>
        <w:rPr>
          <w:b/>
        </w:rPr>
      </w:r>
    </w:p>
    <w:p>
      <w:pPr>
        <w:pStyle w:val="Header"/>
        <w:tabs>
          <w:tab w:val="clear" w:pos="4320"/>
          <w:tab w:val="clear" w:pos="8640"/>
        </w:tabs>
        <w:rPr>
          <w:b/>
        </w:rPr>
      </w:pPr>
      <w:r>
        <w:rPr>
          <w:b/>
        </w:rPr>
        <w:t>THIS DISCUSSION SHEET DOES NOT CREATE A BINDING AND ENFORCEABLE CONTRACT BETWEEN ANY PARTY NOR CONSTITUTE A COMMITMENT OR OFFER TO ANY PARTY OR PARTIES, BUT RATHER IS INTENDED FOR DISCUSSION PURPOSES ONLY.  NO PARTY IS OBLIGATED TO ENTER INTO A CONTRACT NOR PURSUE ANY NEGOTIATIONS IN RESPECT THEREOF.  A BINDING AND ENFORCEABLE CONTRACT SHALL ONLY BE EVIDENCED BY MUTUALLY AGREED WRITTEN DEFINITIVE AGREEMENTS SIGNED BY ALL PARTIES.</w:t>
      </w:r>
    </w:p>
    <w:p>
      <w:pPr>
        <w:pStyle w:val="Normal"/>
        <w:tabs>
          <w:tab w:val="clear" w:pos="720"/>
          <w:tab w:val="left" w:pos="3600" w:leader="none"/>
        </w:tabs>
        <w:rPr>
          <w:b/>
        </w:rPr>
      </w:pPr>
      <w:r>
        <w:rPr>
          <w:b/>
        </w:rPr>
      </w:r>
    </w:p>
    <w:sectPr>
      <w:headerReference w:type="default" r:id="rId2"/>
      <w:footerReference w:type="default" r:id="rId3"/>
      <w:type w:val="nextPage"/>
      <w:pgSz w:w="12240" w:h="15840"/>
      <w:pgMar w:left="1800" w:right="1800" w:gutter="0" w:header="72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emboss/>
        <w:color w:val="FFFFFF"/>
        <w:spacing w:val="20"/>
        <w:sz w:val="24"/>
      </w:rPr>
    </w:pPr>
    <w:r>
      <w:rPr>
        <w:i/>
        <w:emboss/>
        <w:color w:val="FFFFFF"/>
        <w:spacing w:val="20"/>
        <w:sz w:val="24"/>
        <w:rPrChange w:id="0" w:author="jmillar3" w:date="2001-10-08T15:07:00Z"/>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4320"/>
        </w:tabs>
        <w:ind w:start="4320" w:hanging="720"/>
      </w:pPr>
      <w:rPr/>
    </w:lvl>
  </w:abstractNum>
  <w:abstractNum w:abstractNumId="3">
    <w:lvl w:ilvl="0">
      <w:start w:val="1"/>
      <w:numFmt w:val="lowerRoman"/>
      <w:lvlText w:val="(%1)"/>
      <w:lvlJc w:val="start"/>
      <w:pPr>
        <w:tabs>
          <w:tab w:val="num" w:pos="4320"/>
        </w:tabs>
        <w:ind w:start="4320" w:hanging="720"/>
      </w:pPr>
      <w:rPr/>
    </w:lvl>
  </w:abstractNum>
  <w:abstractNum w:abstractNumId="4">
    <w:lvl w:ilvl="0">
      <w:start w:val="1"/>
      <w:numFmt w:val="lowerRoman"/>
      <w:lvlText w:val="(%1)"/>
      <w:lvlJc w:val="start"/>
      <w:pPr>
        <w:tabs>
          <w:tab w:val="num" w:pos="4320"/>
        </w:tabs>
        <w:ind w:start="4320" w:hanging="720"/>
      </w:pPr>
      <w:rPr>
        <w:b w:val="false"/>
      </w:rPr>
    </w:lvl>
  </w:abstractNum>
  <w:abstractNum w:abstractNumId="5">
    <w:lvl w:ilvl="0">
      <w:start w:val="1"/>
      <w:numFmt w:val="lowerRoman"/>
      <w:lvlText w:val="(%1)"/>
      <w:lvlJc w:val="start"/>
      <w:pPr>
        <w:tabs>
          <w:tab w:val="num" w:pos="4320"/>
        </w:tabs>
        <w:ind w:start="4320" w:hanging="720"/>
      </w:pPr>
      <w:rPr/>
    </w:lvl>
  </w:abstractNum>
  <w:abstractNum w:abstractNumId="6">
    <w:lvl w:ilvl="0">
      <w:start w:val="1"/>
      <w:numFmt w:val="lowerRoman"/>
      <w:lvlText w:val="(%1)"/>
      <w:lvlJc w:val="start"/>
      <w:pPr>
        <w:tabs>
          <w:tab w:val="num" w:pos="4320"/>
        </w:tabs>
        <w:ind w:start="4320" w:hanging="720"/>
      </w:pPr>
      <w:rPr/>
    </w:lvl>
  </w:abstractNum>
  <w:abstractNum w:abstractNumId="7">
    <w:lvl w:ilvl="0">
      <w:start w:val="1"/>
      <w:numFmt w:val="lowerRoman"/>
      <w:lvlText w:val="(%1)"/>
      <w:lvlJc w:val="start"/>
      <w:pPr>
        <w:tabs>
          <w:tab w:val="num" w:pos="4320"/>
        </w:tabs>
        <w:ind w:start="43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0" w:leader="none"/>
      </w:tabs>
      <w:ind w:hanging="3600" w:start="3600" w:end="0"/>
      <w:outlineLvl w:val="0"/>
    </w:pPr>
    <w:rPr>
      <w:b/>
      <w:bCs/>
    </w:rPr>
  </w:style>
  <w:style w:type="paragraph" w:styleId="Heading2">
    <w:name w:val="heading 2"/>
    <w:basedOn w:val="Normal"/>
    <w:next w:val="Normal"/>
    <w:qFormat/>
    <w:pPr>
      <w:numPr>
        <w:ilvl w:val="1"/>
        <w:numId w:val="1"/>
      </w:numPr>
      <w:autoSpaceDE w:val="false"/>
      <w:outlineLvl w:val="1"/>
    </w:pPr>
    <w:rPr>
      <w:sz w:val="20"/>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rPr>
      <w:i/>
      <w:i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0" w:leader="none"/>
      </w:tabs>
      <w:ind w:hanging="3600" w:start="3600" w:end="0"/>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2001-10-08T16:24:00Z</dcterms:created>
  <dc:creator>gchavez</dc:creator>
  <dc:description/>
  <dc:language>en-CA</dc:language>
  <cp:lastModifiedBy>jmillar3</cp:lastModifiedBy>
  <cp:lastPrinted>2001-10-08T15:03:00Z</cp:lastPrinted>
  <dcterms:modified xsi:type="dcterms:W3CDTF">2001-10-08T17:37:00Z</dcterms:modified>
  <cp:revision>5</cp:revision>
  <dc:subject/>
  <dc:title>KINGMAN HEAT RECOVERY PROJECT</dc:title>
</cp:coreProperties>
</file>