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b/>
        </w:rPr>
      </w:pPr>
      <w:r>
        <w:rPr>
          <w:b/>
        </w:rPr>
        <w:t>A FIRST LOOK AT PRICE SPIKES,</w:t>
      </w:r>
    </w:p>
    <w:p>
      <w:pPr>
        <w:pStyle w:val="Footer"/>
        <w:tabs>
          <w:tab w:val="clear" w:pos="4320"/>
          <w:tab w:val="clear" w:pos="8640"/>
        </w:tabs>
        <w:jc w:val="center"/>
        <w:rPr>
          <w:b/>
        </w:rPr>
      </w:pPr>
      <w:r>
        <w:rPr>
          <w:b/>
        </w:rPr>
        <w:t>PRICE CAPS, AND THEIR EFFECT</w:t>
      </w:r>
    </w:p>
    <w:p>
      <w:pPr>
        <w:pStyle w:val="Footer"/>
        <w:tabs>
          <w:tab w:val="clear" w:pos="4320"/>
          <w:tab w:val="clear" w:pos="8640"/>
        </w:tabs>
        <w:jc w:val="center"/>
        <w:rPr>
          <w:b/>
        </w:rPr>
      </w:pPr>
      <w:r>
        <w:rPr>
          <w:b/>
        </w:rPr>
        <w:t>ON THE EMERGENCE OF A FULLY</w:t>
      </w:r>
    </w:p>
    <w:p>
      <w:pPr>
        <w:pStyle w:val="Footer"/>
        <w:tabs>
          <w:tab w:val="clear" w:pos="4320"/>
          <w:tab w:val="clear" w:pos="8640"/>
        </w:tabs>
        <w:jc w:val="center"/>
        <w:rPr>
          <w:b/>
        </w:rPr>
      </w:pPr>
      <w:r>
        <w:rPr>
          <w:b/>
        </w:rPr>
        <w:t>COMPETITIVE ELECTRICITY MARKET</w:t>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For:</w:t>
      </w:r>
    </w:p>
    <w:p>
      <w:pPr>
        <w:pStyle w:val="Footer"/>
        <w:tabs>
          <w:tab w:val="clear" w:pos="4320"/>
          <w:tab w:val="clear" w:pos="8640"/>
        </w:tabs>
        <w:jc w:val="center"/>
        <w:rPr/>
      </w:pPr>
      <w:r>
        <w:rPr/>
      </w:r>
    </w:p>
    <w:p>
      <w:pPr>
        <w:pStyle w:val="Footer"/>
        <w:tabs>
          <w:tab w:val="clear" w:pos="4320"/>
          <w:tab w:val="clear" w:pos="8640"/>
        </w:tabs>
        <w:jc w:val="center"/>
        <w:rPr/>
      </w:pPr>
      <w:r>
        <w:rPr/>
        <w:t>THE ELECTRIC POWER SUPPLY ASSOCIATION</w:t>
      </w:r>
    </w:p>
    <w:p>
      <w:pPr>
        <w:pStyle w:val="Footer"/>
        <w:tabs>
          <w:tab w:val="clear" w:pos="4320"/>
          <w:tab w:val="clear" w:pos="8640"/>
        </w:tabs>
        <w:jc w:val="center"/>
        <w:rPr/>
      </w:pPr>
      <w:r>
        <w:rPr/>
      </w:r>
    </w:p>
    <w:p>
      <w:pPr>
        <w:pStyle w:val="Footer"/>
        <w:tabs>
          <w:tab w:val="clear" w:pos="4320"/>
          <w:tab w:val="clear" w:pos="8640"/>
        </w:tabs>
        <w:jc w:val="center"/>
        <w:rPr/>
      </w:pPr>
      <w:r>
        <w:rPr/>
        <w:t>1401 H Street, NW, Suite 760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789-7200</w:t>
      </w:r>
    </w:p>
    <w:p>
      <w:pPr>
        <w:pStyle w:val="Footer"/>
        <w:tabs>
          <w:tab w:val="clear" w:pos="4320"/>
          <w:tab w:val="clear" w:pos="8640"/>
        </w:tabs>
        <w:jc w:val="center"/>
        <w:rPr/>
      </w:pPr>
      <w:r>
        <w:rPr/>
        <w:t>Fax: (202) 789-7201</w:t>
      </w:r>
    </w:p>
    <w:p>
      <w:pPr>
        <w:pStyle w:val="Footer"/>
        <w:tabs>
          <w:tab w:val="clear" w:pos="4320"/>
          <w:tab w:val="clear" w:pos="8640"/>
        </w:tabs>
        <w:jc w:val="center"/>
        <w:rPr/>
      </w:pPr>
      <w:r>
        <w:rPr/>
        <w:t xml:space="preserve">Website: </w:t>
      </w:r>
      <w:hyperlink r:id="rId2">
        <w:r>
          <w:rPr>
            <w:rStyle w:val="Hyperlink"/>
            <w:color w:val="000000"/>
            <w:u w:val="none"/>
          </w:rPr>
          <w:t>www.epsa.org</w:t>
        </w:r>
      </w:hyperlink>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t>Prepared By:</w:t>
      </w:r>
    </w:p>
    <w:p>
      <w:pPr>
        <w:pStyle w:val="Footer"/>
        <w:tabs>
          <w:tab w:val="clear" w:pos="4320"/>
          <w:tab w:val="clear" w:pos="8640"/>
        </w:tabs>
        <w:jc w:val="center"/>
        <w:rPr/>
      </w:pPr>
      <w:r>
        <w:rPr/>
      </w:r>
    </w:p>
    <w:p>
      <w:pPr>
        <w:pStyle w:val="Footer"/>
        <w:tabs>
          <w:tab w:val="clear" w:pos="4320"/>
          <w:tab w:val="clear" w:pos="8640"/>
        </w:tabs>
        <w:jc w:val="center"/>
        <w:rPr/>
      </w:pPr>
      <w:r>
        <w:rPr/>
        <w:t>Boston Pacific Company, Inc.</w:t>
      </w:r>
    </w:p>
    <w:p>
      <w:pPr>
        <w:pStyle w:val="Footer"/>
        <w:tabs>
          <w:tab w:val="clear" w:pos="4320"/>
          <w:tab w:val="clear" w:pos="8640"/>
        </w:tabs>
        <w:jc w:val="center"/>
        <w:rPr/>
      </w:pPr>
      <w:r>
        <w:rPr/>
        <w:t>1225 I Street, NW, Suite 890</w:t>
      </w:r>
    </w:p>
    <w:p>
      <w:pPr>
        <w:pStyle w:val="Footer"/>
        <w:tabs>
          <w:tab w:val="clear" w:pos="4320"/>
          <w:tab w:val="clear" w:pos="8640"/>
        </w:tabs>
        <w:jc w:val="center"/>
        <w:rPr/>
      </w:pPr>
      <w:r>
        <w:rPr/>
        <w:t>Washington, DC  20005</w:t>
      </w:r>
    </w:p>
    <w:p>
      <w:pPr>
        <w:pStyle w:val="Footer"/>
        <w:tabs>
          <w:tab w:val="clear" w:pos="4320"/>
          <w:tab w:val="clear" w:pos="8640"/>
        </w:tabs>
        <w:jc w:val="center"/>
        <w:rPr/>
      </w:pPr>
      <w:r>
        <w:rPr/>
        <w:t>Phone: (202) 296-5520</w:t>
      </w:r>
    </w:p>
    <w:p>
      <w:pPr>
        <w:pStyle w:val="Footer"/>
        <w:tabs>
          <w:tab w:val="clear" w:pos="4320"/>
          <w:tab w:val="clear" w:pos="8640"/>
        </w:tabs>
        <w:jc w:val="center"/>
        <w:rPr/>
      </w:pPr>
      <w:r>
        <w:rPr/>
        <w:t>Fax: (202) 296-5531</w:t>
      </w:r>
    </w:p>
    <w:p>
      <w:pPr>
        <w:pStyle w:val="Footer"/>
        <w:tabs>
          <w:tab w:val="clear" w:pos="4320"/>
          <w:tab w:val="clear" w:pos="8640"/>
        </w:tabs>
        <w:jc w:val="center"/>
        <w:rPr>
          <w:color w:val="000000"/>
        </w:rPr>
      </w:pPr>
      <w:r>
        <w:rPr/>
        <w:t xml:space="preserve">Website: </w:t>
      </w:r>
      <w:hyperlink r:id="rId3">
        <w:r>
          <w:rPr>
            <w:rStyle w:val="Hyperlink"/>
            <w:color w:val="000000"/>
            <w:u w:val="none"/>
          </w:rPr>
          <w:t>www.bostonpacific.com</w:t>
        </w:r>
      </w:hyperlink>
    </w:p>
    <w:p>
      <w:pPr>
        <w:pStyle w:val="Footer"/>
        <w:tabs>
          <w:tab w:val="clear" w:pos="4320"/>
          <w:tab w:val="clear" w:pos="8640"/>
        </w:tabs>
        <w:jc w:val="center"/>
        <w:rPr>
          <w:color w:val="000000"/>
        </w:rPr>
      </w:pPr>
      <w:r>
        <w:rPr>
          <w:color w:val="000000"/>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pStyle w:val="Footer"/>
        <w:tabs>
          <w:tab w:val="clear" w:pos="4320"/>
          <w:tab w:val="clear" w:pos="8640"/>
        </w:tabs>
        <w:jc w:val="center"/>
        <w:rPr/>
      </w:pPr>
      <w:r>
        <w:rPr/>
      </w:r>
    </w:p>
    <w:p>
      <w:pPr>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jc w:val="center"/>
        <w:rPr/>
      </w:pPr>
      <w:r>
        <w:rPr/>
        <w:t>September 2000</w:t>
      </w:r>
    </w:p>
    <w:p>
      <w:pPr>
        <w:pStyle w:val="Footer"/>
        <w:tabs>
          <w:tab w:val="clear" w:pos="4320"/>
          <w:tab w:val="clear" w:pos="8640"/>
        </w:tabs>
        <w:jc w:val="center"/>
        <w:rPr>
          <w:b/>
        </w:rPr>
      </w:pPr>
      <w:r>
        <w:rPr>
          <w:b/>
        </w:rPr>
        <w:t>TABLE OF CONTENTS</w:t>
      </w:r>
    </w:p>
    <w:p>
      <w:pPr>
        <w:pStyle w:val="Footer"/>
        <w:tabs>
          <w:tab w:val="clear" w:pos="4320"/>
          <w:tab w:val="clear" w:pos="8640"/>
        </w:tabs>
        <w:jc w:val="center"/>
        <w:rPr>
          <w:b/>
        </w:rPr>
      </w:pPr>
      <w:r>
        <w:rPr>
          <w:b/>
        </w:rPr>
      </w:r>
    </w:p>
    <w:p>
      <w:pPr>
        <w:pStyle w:val="Footer"/>
        <w:tabs>
          <w:tab w:val="clear" w:pos="4320"/>
          <w:tab w:val="clear" w:pos="8640"/>
        </w:tabs>
        <w:rPr/>
      </w:pPr>
      <w:r>
        <w:rPr/>
      </w:r>
    </w:p>
    <w:p>
      <w:pPr>
        <w:pStyle w:val="Footer"/>
        <w:tabs>
          <w:tab w:val="clear" w:pos="4320"/>
          <w:tab w:val="clear" w:pos="8640"/>
        </w:tabs>
        <w:rPr/>
      </w:pPr>
      <w:r>
        <w:rPr/>
        <w:t>I.  EXECUTIVE SUMMARY</w:t>
      </w:r>
    </w:p>
    <w:p>
      <w:pPr>
        <w:pStyle w:val="Footer"/>
        <w:tabs>
          <w:tab w:val="clear" w:pos="4320"/>
          <w:tab w:val="clear" w:pos="8640"/>
        </w:tabs>
        <w:rPr/>
      </w:pPr>
      <w:r>
        <w:rPr/>
      </w:r>
    </w:p>
    <w:p>
      <w:pPr>
        <w:pStyle w:val="Footer"/>
        <w:numPr>
          <w:ilvl w:val="0"/>
          <w:numId w:val="6"/>
        </w:numPr>
        <w:tabs>
          <w:tab w:val="clear" w:pos="4320"/>
          <w:tab w:val="clear" w:pos="8640"/>
        </w:tabs>
        <w:rPr/>
      </w:pPr>
      <w:r>
        <w:rPr/>
        <w:t>Purpose of This Report</w:t>
      </w:r>
    </w:p>
    <w:p>
      <w:pPr>
        <w:pStyle w:val="Footer"/>
        <w:numPr>
          <w:ilvl w:val="0"/>
          <w:numId w:val="6"/>
        </w:numPr>
        <w:tabs>
          <w:tab w:val="clear" w:pos="4320"/>
          <w:tab w:val="clear" w:pos="8640"/>
        </w:tabs>
        <w:rPr/>
      </w:pPr>
      <w:r>
        <w:rPr/>
        <w:t>Summary of Methods and Results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II.  FREQUENCY AND IMPACT OF PRICE SPIKES</w:t>
      </w:r>
    </w:p>
    <w:p>
      <w:pPr>
        <w:pStyle w:val="Footer"/>
        <w:tabs>
          <w:tab w:val="clear" w:pos="4320"/>
          <w:tab w:val="clear" w:pos="8640"/>
        </w:tabs>
        <w:rPr/>
      </w:pPr>
      <w:r>
        <w:rPr/>
      </w:r>
    </w:p>
    <w:p>
      <w:pPr>
        <w:pStyle w:val="Footer"/>
        <w:numPr>
          <w:ilvl w:val="0"/>
          <w:numId w:val="11"/>
        </w:numPr>
        <w:tabs>
          <w:tab w:val="clear" w:pos="4320"/>
          <w:tab w:val="clear" w:pos="8640"/>
        </w:tabs>
        <w:rPr/>
      </w:pPr>
      <w:r>
        <w:rPr/>
        <w:t>Overview of Methods</w:t>
      </w:r>
    </w:p>
    <w:p>
      <w:pPr>
        <w:pStyle w:val="Footer"/>
        <w:numPr>
          <w:ilvl w:val="0"/>
          <w:numId w:val="11"/>
        </w:numPr>
        <w:tabs>
          <w:tab w:val="clear" w:pos="4320"/>
          <w:tab w:val="clear" w:pos="8640"/>
        </w:tabs>
        <w:rPr/>
      </w:pPr>
      <w:r>
        <w:rPr/>
        <w:t>California PX and ISO Markets</w:t>
      </w:r>
    </w:p>
    <w:p>
      <w:pPr>
        <w:pStyle w:val="Footer"/>
        <w:numPr>
          <w:ilvl w:val="0"/>
          <w:numId w:val="11"/>
        </w:numPr>
        <w:tabs>
          <w:tab w:val="clear" w:pos="4320"/>
          <w:tab w:val="clear" w:pos="8640"/>
        </w:tabs>
        <w:rPr/>
      </w:pPr>
      <w:r>
        <w:rPr/>
        <w:t>PJM Interconnection Energy Markets</w:t>
      </w:r>
    </w:p>
    <w:p>
      <w:pPr>
        <w:pStyle w:val="Footer"/>
        <w:numPr>
          <w:ilvl w:val="0"/>
          <w:numId w:val="11"/>
        </w:numPr>
        <w:tabs>
          <w:tab w:val="clear" w:pos="4320"/>
          <w:tab w:val="clear" w:pos="8640"/>
        </w:tabs>
        <w:rPr/>
      </w:pPr>
      <w:r>
        <w:rPr/>
        <w:t>ISO New England Markets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III.  PRICE LEVELS NEEDED TO JUSTIFY NEW ENTRY TO UNDERCUT PRICE SPIKES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450" w:start="450" w:end="0"/>
        <w:rPr/>
      </w:pPr>
      <w:r>
        <w:rPr/>
        <w:t>IV.  POSSIBLE EFFECT OF PRICE CAPS ON THE EMERGENCE OF RISK MITIGATION PRODUCTS TO PROTECT CONSUMERS AGAINST PRICE SPIKES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ind w:hanging="360" w:start="360" w:end="0"/>
        <w:rPr/>
      </w:pPr>
      <w:r>
        <w:rPr/>
        <w:t>V.  ANECDOTAL EVIDENCE ON THE PRICE LEVELS NEEDED TO ACHIEVE A DEMAND-SIDE RESPONSE TO PRICE SPIKES</w:t>
      </w:r>
    </w:p>
    <w:p>
      <w:pPr>
        <w:pStyle w:val="Footer"/>
        <w:tabs>
          <w:tab w:val="clear" w:pos="4320"/>
          <w:tab w:val="clear" w:pos="8640"/>
        </w:tabs>
        <w:ind w:hanging="360" w:start="360" w:end="0"/>
        <w:rPr/>
      </w:pPr>
      <w:r>
        <w:rPr/>
      </w:r>
    </w:p>
    <w:p>
      <w:pPr>
        <w:pStyle w:val="Footer"/>
        <w:numPr>
          <w:ilvl w:val="0"/>
          <w:numId w:val="7"/>
        </w:numPr>
        <w:tabs>
          <w:tab w:val="clear" w:pos="4320"/>
          <w:tab w:val="clear" w:pos="8640"/>
        </w:tabs>
        <w:rPr/>
      </w:pPr>
      <w:r>
        <w:rPr/>
        <w:t xml:space="preserve">ISO Curtailment Programs </w:t>
      </w:r>
    </w:p>
    <w:p>
      <w:pPr>
        <w:pStyle w:val="Footer"/>
        <w:numPr>
          <w:ilvl w:val="0"/>
          <w:numId w:val="7"/>
        </w:numPr>
        <w:tabs>
          <w:tab w:val="clear" w:pos="4320"/>
          <w:tab w:val="clear" w:pos="8640"/>
        </w:tabs>
        <w:rPr/>
      </w:pPr>
      <w:r>
        <w:rPr/>
        <w:t>The Cost of Unreliability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APPENDIX A Simplified Financial Pro Forma for a Combustion Turbine Plant and a Combined Cycle Plant</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ATTACHED TABLES</w:t>
      </w:r>
    </w:p>
    <w:p>
      <w:pPr>
        <w:pStyle w:val="Footer"/>
        <w:tabs>
          <w:tab w:val="clear" w:pos="4320"/>
          <w:tab w:val="clear" w:pos="8640"/>
        </w:tabs>
        <w:rPr/>
      </w:pPr>
      <w:r>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pStyle w:val="Footer"/>
        <w:tabs>
          <w:tab w:val="clear" w:pos="4320"/>
          <w:tab w:val="clear" w:pos="8640"/>
        </w:tabs>
        <w:rPr/>
      </w:pPr>
      <w:r>
        <w:rPr/>
      </w:r>
    </w:p>
    <w:p>
      <w:pPr>
        <w:pStyle w:val="Footer"/>
        <w:tabs>
          <w:tab w:val="clear" w:pos="4320"/>
          <w:tab w:val="clear" w:pos="8640"/>
        </w:tabs>
        <w:spacing w:lineRule="auto" w:line="480"/>
        <w:ind w:start="360" w:end="0"/>
        <w:jc w:val="center"/>
        <w:rPr>
          <w:b/>
        </w:rPr>
      </w:pPr>
      <w:r>
        <w:rPr>
          <w:b/>
        </w:rPr>
        <w:t>I.  EXECUTIVE SUMMARY</w:t>
      </w:r>
    </w:p>
    <w:p>
      <w:pPr>
        <w:pStyle w:val="Footer"/>
        <w:tabs>
          <w:tab w:val="clear" w:pos="4320"/>
          <w:tab w:val="clear" w:pos="8640"/>
        </w:tabs>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4">
                <wp:simplePos x="0" y="0"/>
                <wp:positionH relativeFrom="column">
                  <wp:posOffset>51435</wp:posOffset>
                </wp:positionH>
                <wp:positionV relativeFrom="paragraph">
                  <wp:posOffset>93980</wp:posOffset>
                </wp:positionV>
                <wp:extent cx="5715000" cy="0"/>
                <wp:effectExtent l="0" t="14605" r="0" b="14605"/>
                <wp:wrapNone/>
                <wp:docPr id="3"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Footer"/>
        <w:tabs>
          <w:tab w:val="clear" w:pos="4320"/>
          <w:tab w:val="clear" w:pos="8640"/>
        </w:tabs>
        <w:spacing w:lineRule="auto" w:line="480"/>
        <w:rPr>
          <w:b/>
        </w:rPr>
      </w:pPr>
      <w:r>
        <w:rPr>
          <w:b/>
        </w:rPr>
        <w:t>PURPOSE OF THIS REPORT</w:t>
      </w:r>
    </w:p>
    <w:p>
      <w:pPr>
        <w:pStyle w:val="Footer"/>
        <w:tabs>
          <w:tab w:val="clear" w:pos="4320"/>
          <w:tab w:val="clear" w:pos="8640"/>
        </w:tabs>
        <w:spacing w:lineRule="auto" w:line="480"/>
        <w:ind w:firstLine="720" w:end="0"/>
        <w:rPr/>
      </w:pPr>
      <w:r>
        <w:rPr/>
        <w:t>There has been extensive reporting this summer on periods of high electricity prices (“price spikes”) in some of the most advanced competitive markets in the U.S.  Rising monthly electricity bills and charges of price gouging have brought responses from the highest levels of government, including the Governor of California and the President of the United States.  Proposals have been made, in essence, to re-regulate electricity markets through the use of price caps.  There have been calls for antitrust investigations.  And all of this has the potential to undermine confidence in what has been a slow but steady move toward a competitive U.S. electricity business.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At the request of the Electric Power Supply Association (EPSA), the purpose of this report is to provide some factual background as these concerns and allegations are assessed in various forums this Fall.  It is most certainly not the purpose to dismiss customer concerns; after all, the whole point of deregulation (restructuring) is to make the business more responsive to customers.  Nor is the purpose to make excuses if and when violations of antitrust laws are documented with hard evidence.</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The only intent is to help focus the debate on the facts and to encourage policymakers to adopt a long-term view.  Such a view will lead to an assessment of the long-term consequences of short-term fixes on the emergence of a fully competitive electricity market.  To this end, we present herein information that helps to address four relevant questions.</w:t>
      </w:r>
    </w:p>
    <w:p>
      <w:pPr>
        <w:pStyle w:val="Footer"/>
        <w:tabs>
          <w:tab w:val="clear" w:pos="4320"/>
          <w:tab w:val="clear" w:pos="8640"/>
        </w:tabs>
        <w:spacing w:lineRule="auto" w:line="480"/>
        <w:rPr/>
      </w:pPr>
      <w:r>
        <w:rPr/>
      </w:r>
    </w:p>
    <w:p>
      <w:pPr>
        <w:pStyle w:val="Footer"/>
        <w:numPr>
          <w:ilvl w:val="0"/>
          <w:numId w:val="4"/>
        </w:numPr>
        <w:tabs>
          <w:tab w:val="clear" w:pos="4320"/>
          <w:tab w:val="clear" w:pos="8640"/>
        </w:tabs>
        <w:spacing w:lineRule="auto" w:line="480"/>
        <w:rPr/>
      </w:pPr>
      <w:r>
        <w:rPr/>
        <w:t>How frequent are price spikes and what impact can they have on customer bills?</w:t>
      </w:r>
    </w:p>
    <w:p>
      <w:pPr>
        <w:pStyle w:val="Footer"/>
        <w:numPr>
          <w:ilvl w:val="0"/>
          <w:numId w:val="4"/>
        </w:numPr>
        <w:tabs>
          <w:tab w:val="clear" w:pos="4320"/>
          <w:tab w:val="clear" w:pos="8640"/>
        </w:tabs>
        <w:spacing w:lineRule="auto" w:line="480"/>
        <w:rPr/>
      </w:pPr>
      <w:r>
        <w:rPr/>
        <w:t>Are prices out of line with those needed to attract new suppliers to undercut any price spikes?</w:t>
      </w:r>
    </w:p>
    <w:p>
      <w:pPr>
        <w:pStyle w:val="Footer"/>
        <w:numPr>
          <w:ilvl w:val="0"/>
          <w:numId w:val="4"/>
        </w:numPr>
        <w:tabs>
          <w:tab w:val="clear" w:pos="4320"/>
          <w:tab w:val="clear" w:pos="8640"/>
        </w:tabs>
        <w:spacing w:lineRule="auto" w:line="480"/>
        <w:rPr/>
      </w:pPr>
      <w:r>
        <w:rPr/>
        <w:t>How could price caps affect the emergence of risk mitigation products that are the ultimate protection for customers against price spikes?</w:t>
      </w:r>
    </w:p>
    <w:p>
      <w:pPr>
        <w:pStyle w:val="Footer"/>
        <w:numPr>
          <w:ilvl w:val="0"/>
          <w:numId w:val="4"/>
        </w:numPr>
        <w:tabs>
          <w:tab w:val="clear" w:pos="4320"/>
          <w:tab w:val="clear" w:pos="8640"/>
        </w:tabs>
        <w:spacing w:lineRule="auto" w:line="480"/>
        <w:rPr/>
      </w:pPr>
      <w:r>
        <w:rPr/>
        <w:t>Are prices at a level sufficient to bring forth a demand-side response to price spikes?</w:t>
      </w:r>
    </w:p>
    <w:p>
      <w:pPr>
        <w:pStyle w:val="Footer"/>
        <w:tabs>
          <w:tab w:val="clear" w:pos="4320"/>
          <w:tab w:val="clear" w:pos="8640"/>
        </w:tabs>
        <w:spacing w:lineRule="auto" w:line="480"/>
        <w:rPr/>
      </w:pPr>
      <w:r>
        <w:rPr/>
      </w:r>
    </w:p>
    <w:p>
      <w:pPr>
        <w:pStyle w:val="Footer"/>
        <w:tabs>
          <w:tab w:val="clear" w:pos="4320"/>
          <w:tab w:val="clear" w:pos="8640"/>
        </w:tabs>
        <w:spacing w:lineRule="auto" w:line="480"/>
        <w:rPr>
          <w:b/>
        </w:rPr>
      </w:pPr>
      <w:r>
        <w:rPr>
          <w:b/>
        </w:rPr>
        <w:t>SUMMARY OF METHODS AND RESULTS</w:t>
      </w:r>
    </w:p>
    <w:p>
      <w:pPr>
        <w:pStyle w:val="Footer"/>
        <w:tabs>
          <w:tab w:val="clear" w:pos="4320"/>
          <w:tab w:val="clear" w:pos="8640"/>
        </w:tabs>
        <w:spacing w:lineRule="auto" w:line="480"/>
        <w:ind w:firstLine="720" w:end="0"/>
        <w:rPr/>
      </w:pPr>
      <w:r>
        <w:rPr/>
        <w:t>All of the price data used in this report were downloaded from ISO websites.  At the outset, we had to define the threshold level for a price spike.  Rather than debate the right threshold, we looked for prices equal to or exceeding five thresholds: $100, $250, $500, $750, and $1,000.  Further, because each gave us at least twelve full months of published operating results, we included in our effort only the markets run by the California PX and ISO, the PJM Interconnection, and ISO New England.  Finally, we defined two, twelve-month periods that we called Fiscal Year 2000/1999 (FY00/99) and Fiscal Year 1999/1998 (FY99/98).  The former generally covers the twelve months from August 1999 to August 2000.  The latter covers the preceding twelve months.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For several reasons, including the fact that the summer peak period is not over, we make no claim to providing final answers to the four questions listed above.  However, this first look leads us to emphasize several points.</w:t>
      </w:r>
    </w:p>
    <w:p>
      <w:pPr>
        <w:pStyle w:val="Footer"/>
        <w:tabs>
          <w:tab w:val="clear" w:pos="4320"/>
          <w:tab w:val="clear" w:pos="8640"/>
        </w:tabs>
        <w:spacing w:lineRule="auto" w:line="480"/>
        <w:rPr/>
      </w:pPr>
      <w:r>
        <w:rPr/>
      </w:r>
    </w:p>
    <w:p>
      <w:pPr>
        <w:pStyle w:val="Footer"/>
        <w:tabs>
          <w:tab w:val="clear" w:pos="4320"/>
          <w:tab w:val="clear" w:pos="8640"/>
        </w:tabs>
        <w:spacing w:lineRule="auto" w:line="480"/>
        <w:ind w:hanging="360" w:start="1080" w:end="0"/>
        <w:rPr>
          <w:b/>
        </w:rPr>
      </w:pPr>
      <w:r>
        <w:rPr>
          <w:b/>
        </w:rPr>
        <w:t>1.  While greater in number this year than last, price spikes in California still affected relatively few hours of the year through July 31, 2000.</w:t>
      </w:r>
    </w:p>
    <w:p>
      <w:pPr>
        <w:pStyle w:val="Footer"/>
        <w:numPr>
          <w:ilvl w:val="0"/>
          <w:numId w:val="2"/>
        </w:numPr>
        <w:tabs>
          <w:tab w:val="clear" w:pos="4320"/>
          <w:tab w:val="clear" w:pos="8640"/>
        </w:tabs>
        <w:spacing w:lineRule="auto" w:line="480"/>
        <w:rPr/>
      </w:pPr>
      <w:r>
        <w:rPr/>
        <w:t>For example, in the Day-Ahead Energy Market run by the California PX, in FY00/99, prices equaled or exceeded $100/MWH in 4.7% of the hours.  This is up from 1.2% of the time in FY99/98.</w:t>
      </w:r>
    </w:p>
    <w:p>
      <w:pPr>
        <w:pStyle w:val="Footer"/>
        <w:numPr>
          <w:ilvl w:val="0"/>
          <w:numId w:val="2"/>
        </w:numPr>
        <w:tabs>
          <w:tab w:val="clear" w:pos="4320"/>
          <w:tab w:val="clear" w:pos="8640"/>
        </w:tabs>
        <w:spacing w:lineRule="auto" w:line="480"/>
        <w:rPr/>
      </w:pPr>
      <w:r>
        <w:rPr/>
        <w:t xml:space="preserve">In this same market, prices in FY00/99 equaled or exceeded $250/MWH in 2.0% of the hours.  While prices never equaled or exceeded $250/MWH in FY99/98, this is probably due to a </w:t>
      </w:r>
      <w:r>
        <w:rPr>
          <w:i/>
        </w:rPr>
        <w:t>de facto</w:t>
      </w:r>
      <w:r>
        <w:rPr/>
        <w:t xml:space="preserve"> price cap of $250 set by the California ISO.</w:t>
      </w:r>
    </w:p>
    <w:p>
      <w:pPr>
        <w:pStyle w:val="Footer"/>
        <w:numPr>
          <w:ilvl w:val="0"/>
          <w:numId w:val="2"/>
        </w:numPr>
        <w:tabs>
          <w:tab w:val="clear" w:pos="4320"/>
          <w:tab w:val="clear" w:pos="8640"/>
        </w:tabs>
        <w:spacing w:lineRule="auto" w:line="480"/>
        <w:rPr/>
      </w:pPr>
      <w:r>
        <w:rPr/>
        <w:t>Of the hours in which prices equaled or exceeded $100 in FY00/99, 80% occurred in June and July of 2000.</w:t>
      </w:r>
    </w:p>
    <w:p>
      <w:pPr>
        <w:pStyle w:val="Footer"/>
        <w:tabs>
          <w:tab w:val="clear" w:pos="4320"/>
          <w:tab w:val="clear" w:pos="8640"/>
        </w:tabs>
        <w:spacing w:lineRule="auto" w:line="480"/>
        <w:rPr/>
      </w:pPr>
      <w:r>
        <w:rPr/>
      </w:r>
    </w:p>
    <w:p>
      <w:pPr>
        <w:pStyle w:val="Footer"/>
        <w:tabs>
          <w:tab w:val="clear" w:pos="4320"/>
          <w:tab w:val="clear" w:pos="8640"/>
        </w:tabs>
        <w:spacing w:lineRule="auto" w:line="480"/>
        <w:ind w:hanging="360" w:start="1080" w:end="0"/>
        <w:rPr>
          <w:b/>
        </w:rPr>
      </w:pPr>
      <w:r>
        <w:rPr>
          <w:b/>
        </w:rPr>
        <w:t>2.  Price spikes are not the primary culprit in rising customer bills in California.</w:t>
      </w:r>
    </w:p>
    <w:p>
      <w:pPr>
        <w:pStyle w:val="Footer"/>
        <w:numPr>
          <w:ilvl w:val="0"/>
          <w:numId w:val="2"/>
        </w:numPr>
        <w:tabs>
          <w:tab w:val="clear" w:pos="4320"/>
          <w:tab w:val="clear" w:pos="8640"/>
        </w:tabs>
        <w:spacing w:lineRule="auto" w:line="480"/>
        <w:rPr/>
      </w:pPr>
      <w:r>
        <w:rPr/>
        <w:t xml:space="preserve">To approximate the effect of price spikes on a customer’s annual bill, we created a hypothetical 100% Load Factor Customer that would consume 1 MWH of energy in each hour of the year.  While the load profile is hypothetical, we calculated this customer’s bill with the </w:t>
      </w:r>
      <w:r>
        <w:rPr>
          <w:i/>
        </w:rPr>
        <w:t>actual prices</w:t>
      </w:r>
      <w:r>
        <w:rPr/>
        <w:t xml:space="preserve"> observed in the energy markets for FY00/99 and FY99/98.</w:t>
      </w:r>
    </w:p>
    <w:p>
      <w:pPr>
        <w:pStyle w:val="Footer"/>
        <w:numPr>
          <w:ilvl w:val="0"/>
          <w:numId w:val="2"/>
        </w:numPr>
        <w:tabs>
          <w:tab w:val="clear" w:pos="4320"/>
          <w:tab w:val="clear" w:pos="8640"/>
        </w:tabs>
        <w:spacing w:lineRule="auto" w:line="480"/>
        <w:rPr/>
      </w:pPr>
      <w:r>
        <w:rPr/>
        <w:t xml:space="preserve">For example, a hypothetical, 100% Load Factor Customer would have seen an 81% increase in his/her bill in FY00/99 as compared to FY99/98.  But, even if a $250 price cap had been imposed, the bill still would have increased by 66%.  </w:t>
      </w:r>
    </w:p>
    <w:p>
      <w:pPr>
        <w:pStyle w:val="Footer"/>
        <w:numPr>
          <w:ilvl w:val="0"/>
          <w:numId w:val="2"/>
        </w:numPr>
        <w:tabs>
          <w:tab w:val="clear" w:pos="4320"/>
          <w:tab w:val="clear" w:pos="8640"/>
        </w:tabs>
        <w:spacing w:lineRule="auto" w:line="480"/>
        <w:rPr/>
      </w:pPr>
      <w:r>
        <w:rPr/>
        <w:t>By examining the bill with a price cap in place, we are removing the effect of price spikes from the conversation.  The results show that the large increases seen in customers’ bills are in large part not caused by price spikes.</w:t>
      </w:r>
    </w:p>
    <w:p>
      <w:pPr>
        <w:pStyle w:val="Footer"/>
        <w:numPr>
          <w:ilvl w:val="0"/>
          <w:numId w:val="2"/>
        </w:numPr>
        <w:tabs>
          <w:tab w:val="clear" w:pos="4320"/>
          <w:tab w:val="clear" w:pos="8640"/>
        </w:tabs>
        <w:spacing w:lineRule="auto" w:line="480"/>
        <w:rPr/>
      </w:pPr>
      <w:r>
        <w:rPr/>
        <w:t xml:space="preserve">For this reason, attention might best be turned away from price spikes and toward broader changes in costs and operating conditions.  For example, delivered natural gas prices in California, as reported by </w:t>
      </w:r>
      <w:r>
        <w:rPr>
          <w:i/>
        </w:rPr>
        <w:t>Natural Gas Week</w:t>
      </w:r>
      <w:r>
        <w:rPr/>
        <w:t>, were 77% higher in June/July 2000 than in June/July 1999.  Other factors to explore included demand, availability of power plants, the cost of environmental compliance, and transmission constraints.</w:t>
      </w:r>
    </w:p>
    <w:p>
      <w:pPr>
        <w:pStyle w:val="Footer"/>
        <w:tabs>
          <w:tab w:val="clear" w:pos="4320"/>
          <w:tab w:val="clear" w:pos="8640"/>
        </w:tabs>
        <w:spacing w:lineRule="auto" w:line="480"/>
        <w:rPr/>
      </w:pPr>
      <w:r>
        <w:rPr/>
      </w:r>
    </w:p>
    <w:p>
      <w:pPr>
        <w:pStyle w:val="Footer"/>
        <w:tabs>
          <w:tab w:val="clear" w:pos="4320"/>
          <w:tab w:val="clear" w:pos="8640"/>
        </w:tabs>
        <w:spacing w:lineRule="auto" w:line="480"/>
        <w:ind w:hanging="360" w:start="1080" w:end="0"/>
        <w:rPr/>
      </w:pPr>
      <w:r>
        <w:rPr>
          <w:b/>
        </w:rPr>
        <w:t xml:space="preserve">3.  Markets in the East are reporting lower electricity prices this year than last.  In energy markets in both PJM and New England, price spikes were fewer in number this year and, more importantly, customer </w:t>
      </w:r>
      <w:r>
        <w:rPr>
          <w:b/>
          <w:u w:val="single"/>
        </w:rPr>
        <w:t>prices</w:t>
      </w:r>
      <w:r>
        <w:rPr>
          <w:b/>
        </w:rPr>
        <w:t xml:space="preserve"> </w:t>
      </w:r>
      <w:r>
        <w:rPr>
          <w:b/>
          <w:u w:val="single"/>
        </w:rPr>
        <w:t>fell</w:t>
      </w:r>
      <w:r>
        <w:rPr>
          <w:b/>
        </w:rPr>
        <w:t xml:space="preserve"> </w:t>
      </w:r>
      <w:r>
        <w:rPr>
          <w:b/>
          <w:u w:val="single"/>
        </w:rPr>
        <w:t>overall</w:t>
      </w:r>
      <w:r>
        <w:rPr>
          <w:b/>
        </w:rPr>
        <w:t>.</w:t>
      </w:r>
    </w:p>
    <w:p>
      <w:pPr>
        <w:pStyle w:val="Footer"/>
        <w:numPr>
          <w:ilvl w:val="0"/>
          <w:numId w:val="3"/>
        </w:numPr>
        <w:tabs>
          <w:tab w:val="clear" w:pos="4320"/>
          <w:tab w:val="clear" w:pos="8640"/>
        </w:tabs>
        <w:spacing w:lineRule="auto" w:line="480"/>
        <w:rPr/>
      </w:pPr>
      <w:r>
        <w:rPr/>
        <w:t>For example, a 100% Load Factor Customer in the PJM Real-Time Energy Market saw his/her average price fall by 17% year-to-year.</w:t>
      </w:r>
    </w:p>
    <w:p>
      <w:pPr>
        <w:pStyle w:val="Footer"/>
        <w:numPr>
          <w:ilvl w:val="0"/>
          <w:numId w:val="3"/>
        </w:numPr>
        <w:tabs>
          <w:tab w:val="clear" w:pos="4320"/>
          <w:tab w:val="clear" w:pos="8640"/>
        </w:tabs>
        <w:spacing w:lineRule="auto" w:line="480"/>
        <w:rPr/>
      </w:pPr>
      <w:r>
        <w:rPr/>
        <w:t>A 100% Load Factor Customer in New England saw a 21% decline in average prices for June 2000 and a 10% decline in July 2000 as compared to that month in 1999.</w:t>
      </w:r>
    </w:p>
    <w:p>
      <w:pPr>
        <w:pStyle w:val="Footer"/>
        <w:tabs>
          <w:tab w:val="clear" w:pos="4320"/>
          <w:tab w:val="clear" w:pos="8640"/>
        </w:tabs>
        <w:spacing w:lineRule="auto" w:line="480"/>
        <w:rPr/>
      </w:pPr>
      <w:r>
        <w:rPr/>
      </w:r>
    </w:p>
    <w:p>
      <w:pPr>
        <w:pStyle w:val="Footer"/>
        <w:tabs>
          <w:tab w:val="clear" w:pos="4320"/>
          <w:tab w:val="clear" w:pos="8640"/>
        </w:tabs>
        <w:spacing w:lineRule="auto" w:line="480"/>
        <w:ind w:hanging="360" w:start="1080" w:end="0"/>
        <w:rPr>
          <w:b/>
        </w:rPr>
      </w:pPr>
      <w:r>
        <w:rPr>
          <w:b/>
        </w:rPr>
        <w:t>4.  Because price spikes are infrequent, new peaking plants intent on undercutting such spikes would themselves need to see high prices to justify their investment.</w:t>
      </w:r>
    </w:p>
    <w:p>
      <w:pPr>
        <w:pStyle w:val="Footer"/>
        <w:numPr>
          <w:ilvl w:val="0"/>
          <w:numId w:val="8"/>
        </w:numPr>
        <w:tabs>
          <w:tab w:val="clear" w:pos="4320"/>
          <w:tab w:val="clear" w:pos="8640"/>
        </w:tabs>
        <w:spacing w:lineRule="auto" w:line="480"/>
        <w:rPr/>
      </w:pPr>
      <w:r>
        <w:rPr/>
        <w:t>If the concern is that price spikes reflect the exercise of market power, the remedy is to have new competitors enter the market at those times.  That probably will require new peaking plants which can be expensive.</w:t>
      </w:r>
    </w:p>
    <w:p>
      <w:pPr>
        <w:pStyle w:val="Footer"/>
        <w:numPr>
          <w:ilvl w:val="0"/>
          <w:numId w:val="8"/>
        </w:numPr>
        <w:tabs>
          <w:tab w:val="clear" w:pos="4320"/>
          <w:tab w:val="clear" w:pos="8640"/>
        </w:tabs>
        <w:spacing w:lineRule="auto" w:line="480"/>
        <w:rPr/>
      </w:pPr>
      <w:r>
        <w:rPr/>
        <w:t>For example, if prices rose to a level necessary to justify investment in a new peaking plant, just to cover fixed costs, those prices would have to rise to (a) $661/MWH if the plant ran 1% of the time and (b) $132/MWH if the plant ran 10% of the time.  These price levels would have to be realized in all 15 years of the plant’s financial life.</w:t>
      </w:r>
    </w:p>
    <w:p>
      <w:pPr>
        <w:pStyle w:val="Footer"/>
        <w:numPr>
          <w:ilvl w:val="0"/>
          <w:numId w:val="8"/>
        </w:numPr>
        <w:tabs>
          <w:tab w:val="clear" w:pos="4320"/>
          <w:tab w:val="clear" w:pos="8640"/>
        </w:tabs>
        <w:spacing w:lineRule="auto" w:line="480"/>
        <w:rPr/>
      </w:pPr>
      <w:r>
        <w:rPr/>
        <w:t xml:space="preserve">In June/July 2000, a peaking plant could incur (on top of these fixed costs) $51/MWH in fuel costs based (a) on delivered gas prices of $4.64/MMBTU as reported by </w:t>
      </w:r>
      <w:r>
        <w:rPr>
          <w:i/>
        </w:rPr>
        <w:t>Natural Gas Week,</w:t>
      </w:r>
      <w:r>
        <w:rPr/>
        <w:t xml:space="preserve"> and (b) a 11,000 Btu/kwh heat rate.</w:t>
      </w:r>
    </w:p>
    <w:p>
      <w:pPr>
        <w:pStyle w:val="Footer"/>
        <w:numPr>
          <w:ilvl w:val="0"/>
          <w:numId w:val="8"/>
        </w:numPr>
        <w:tabs>
          <w:tab w:val="clear" w:pos="4320"/>
          <w:tab w:val="clear" w:pos="8640"/>
        </w:tabs>
        <w:spacing w:lineRule="auto" w:line="480"/>
        <w:rPr/>
      </w:pPr>
      <w:r>
        <w:rPr/>
        <w:t>In FY00/99, actual average prices appear to be sufficient to justify investment at levels of operation above 1%, but the required prices are substantial.</w:t>
      </w:r>
    </w:p>
    <w:p>
      <w:pPr>
        <w:pStyle w:val="Footer"/>
        <w:tabs>
          <w:tab w:val="clear" w:pos="4320"/>
          <w:tab w:val="clear" w:pos="8640"/>
        </w:tabs>
        <w:jc w:val="center"/>
        <w:rPr>
          <w:b/>
        </w:rPr>
      </w:pPr>
      <w:r>
        <w:rPr>
          <w:b/>
        </w:rPr>
        <w:t>TABLE ONE</w:t>
      </w:r>
    </w:p>
    <w:p>
      <w:pPr>
        <w:pStyle w:val="Footer"/>
        <w:tabs>
          <w:tab w:val="clear" w:pos="4320"/>
          <w:tab w:val="clear" w:pos="8640"/>
        </w:tabs>
        <w:jc w:val="center"/>
        <w:rPr>
          <w:b/>
        </w:rPr>
      </w:pPr>
      <w:r>
        <w:rPr>
          <w:b/>
        </w:rPr>
      </w:r>
    </w:p>
    <w:p>
      <w:pPr>
        <w:pStyle w:val="Footer"/>
        <w:tabs>
          <w:tab w:val="clear" w:pos="4320"/>
          <w:tab w:val="clear" w:pos="8640"/>
        </w:tabs>
        <w:jc w:val="center"/>
        <w:rPr/>
      </w:pPr>
      <w:r>
        <w:rPr/>
        <w:t xml:space="preserve">REQUIRED PRICE FOR NEW ENTRY COMPARED TO TOP 1%, 2%, 5%, AND 10% OF DAY AHEAD PRICES FY00/99 </w:t>
      </w:r>
    </w:p>
    <w:p>
      <w:pPr>
        <w:pStyle w:val="Footer"/>
        <w:tabs>
          <w:tab w:val="clear" w:pos="4320"/>
          <w:tab w:val="clear" w:pos="8640"/>
        </w:tabs>
        <w:rPr/>
      </w:pPr>
      <w:r>
        <w:rPr/>
      </w:r>
    </w:p>
    <w:tbl>
      <w:tblPr>
        <w:tblW w:w="5417" w:type="dxa"/>
        <w:jc w:val="center"/>
        <w:tblInd w:w="0" w:type="dxa"/>
        <w:tblLayout w:type="fixed"/>
        <w:tblCellMar>
          <w:top w:w="0" w:type="dxa"/>
          <w:start w:w="108" w:type="dxa"/>
          <w:bottom w:w="0" w:type="dxa"/>
          <w:end w:w="108" w:type="dxa"/>
        </w:tblCellMar>
      </w:tblPr>
      <w:tblGrid>
        <w:gridCol w:w="2230"/>
        <w:gridCol w:w="1711"/>
        <w:gridCol w:w="1476"/>
      </w:tblGrid>
      <w:tr>
        <w:trPr/>
        <w:tc>
          <w:tcPr>
            <w:tcW w:w="2230" w:type="dxa"/>
            <w:tcBorders>
              <w:top w:val="double" w:sz="4" w:space="0" w:color="000000"/>
              <w:start w:val="double" w:sz="4" w:space="0" w:color="000000"/>
              <w:bottom w:val="double" w:sz="4" w:space="0" w:color="000000"/>
              <w:end w:val="single" w:sz="4" w:space="0" w:color="000000"/>
            </w:tcBorders>
          </w:tcPr>
          <w:p>
            <w:pPr>
              <w:pStyle w:val="Footer"/>
              <w:tabs>
                <w:tab w:val="clear" w:pos="4320"/>
                <w:tab w:val="clear" w:pos="8640"/>
              </w:tabs>
              <w:snapToGrid w:val="false"/>
              <w:rPr/>
            </w:pPr>
            <w:r>
              <w:rPr/>
            </w:r>
          </w:p>
          <w:p>
            <w:pPr>
              <w:pStyle w:val="Footer"/>
              <w:tabs>
                <w:tab w:val="clear" w:pos="4320"/>
                <w:tab w:val="clear" w:pos="8640"/>
              </w:tabs>
              <w:jc w:val="center"/>
              <w:rPr/>
            </w:pPr>
            <w:r>
              <w:rPr/>
              <w:t>Level of Operation</w:t>
            </w:r>
          </w:p>
        </w:tc>
        <w:tc>
          <w:tcPr>
            <w:tcW w:w="1711" w:type="dxa"/>
            <w:tcBorders>
              <w:top w:val="doub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Required Price ($/MWH)*</w:t>
            </w:r>
          </w:p>
        </w:tc>
        <w:tc>
          <w:tcPr>
            <w:tcW w:w="1476" w:type="dxa"/>
            <w:tcBorders>
              <w:top w:val="double" w:sz="4" w:space="0" w:color="000000"/>
              <w:start w:val="single" w:sz="4" w:space="0" w:color="000000"/>
              <w:bottom w:val="double" w:sz="4" w:space="0" w:color="000000"/>
              <w:end w:val="double" w:sz="4" w:space="0" w:color="000000"/>
            </w:tcBorders>
          </w:tcPr>
          <w:p>
            <w:pPr>
              <w:pStyle w:val="Footer"/>
              <w:tabs>
                <w:tab w:val="clear" w:pos="4320"/>
                <w:tab w:val="clear" w:pos="8640"/>
              </w:tabs>
              <w:jc w:val="center"/>
              <w:rPr/>
            </w:pPr>
            <w:r>
              <w:rPr/>
              <w:t>Actual Price ($/MWH)</w:t>
            </w:r>
          </w:p>
        </w:tc>
      </w:tr>
      <w:tr>
        <w:trPr/>
        <w:tc>
          <w:tcPr>
            <w:tcW w:w="2230"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1%</w:t>
            </w:r>
          </w:p>
        </w:tc>
        <w:tc>
          <w:tcPr>
            <w:tcW w:w="1711"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$712</w:t>
            </w:r>
          </w:p>
        </w:tc>
        <w:tc>
          <w:tcPr>
            <w:tcW w:w="1476"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$557</w:t>
            </w:r>
          </w:p>
        </w:tc>
      </w:tr>
      <w:tr>
        <w:trPr/>
        <w:tc>
          <w:tcPr>
            <w:tcW w:w="223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2%</w:t>
            </w:r>
          </w:p>
        </w:tc>
        <w:tc>
          <w:tcPr>
            <w:tcW w:w="171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$381</w:t>
            </w:r>
          </w:p>
        </w:tc>
        <w:tc>
          <w:tcPr>
            <w:tcW w:w="1476"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$452</w:t>
            </w:r>
          </w:p>
        </w:tc>
      </w:tr>
      <w:tr>
        <w:trPr/>
        <w:tc>
          <w:tcPr>
            <w:tcW w:w="223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1711"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$183</w:t>
            </w:r>
          </w:p>
        </w:tc>
        <w:tc>
          <w:tcPr>
            <w:tcW w:w="1476"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$269</w:t>
            </w:r>
          </w:p>
        </w:tc>
      </w:tr>
      <w:tr>
        <w:trPr/>
        <w:tc>
          <w:tcPr>
            <w:tcW w:w="2230"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pPr>
            <w:r>
              <w:rPr>
                <w:rFonts w:eastAsia="CG Times"/>
              </w:rPr>
              <w:t xml:space="preserve">           </w:t>
            </w:r>
            <w:r>
              <w:rPr/>
              <w:t>10%</w:t>
            </w:r>
          </w:p>
        </w:tc>
        <w:tc>
          <w:tcPr>
            <w:tcW w:w="1711"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$117</w:t>
            </w:r>
          </w:p>
        </w:tc>
        <w:tc>
          <w:tcPr>
            <w:tcW w:w="1476"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jc w:val="center"/>
              <w:rPr/>
            </w:pPr>
            <w:r>
              <w:rPr/>
              <w:t>$173</w:t>
            </w:r>
          </w:p>
        </w:tc>
      </w:tr>
    </w:tbl>
    <w:p>
      <w:pPr>
        <w:pStyle w:val="Footer"/>
        <w:tabs>
          <w:tab w:val="clear" w:pos="4320"/>
          <w:tab w:val="clear" w:pos="8640"/>
        </w:tabs>
        <w:ind w:start="1620" w:end="0"/>
        <w:rPr/>
      </w:pPr>
      <w:r>
        <w:rPr/>
        <w:t>*Includes fuel costs.</w:t>
      </w:r>
    </w:p>
    <w:p>
      <w:pPr>
        <w:pStyle w:val="Footer"/>
        <w:tabs>
          <w:tab w:val="clear" w:pos="4320"/>
          <w:tab w:val="clear" w:pos="8640"/>
        </w:tabs>
        <w:ind w:start="1620" w:end="0"/>
        <w:rPr/>
      </w:pPr>
      <w:r>
        <w:rPr/>
      </w:r>
    </w:p>
    <w:p>
      <w:pPr>
        <w:pStyle w:val="Footer"/>
        <w:numPr>
          <w:ilvl w:val="0"/>
          <w:numId w:val="9"/>
        </w:numPr>
        <w:tabs>
          <w:tab w:val="clear" w:pos="4320"/>
          <w:tab w:val="clear" w:pos="8640"/>
        </w:tabs>
        <w:spacing w:lineRule="auto" w:line="480"/>
        <w:rPr/>
      </w:pPr>
      <w:r>
        <w:rPr/>
        <w:t xml:space="preserve">The above required prices are not adjusted for risk; power project developers must take on the risk that prices will not reach the necessary levels in every year of operation.  For this reason, the prices that will actually motivate new entrants may be higher than the required prices listed above. </w:t>
      </w:r>
    </w:p>
    <w:p>
      <w:pPr>
        <w:pStyle w:val="Footer"/>
        <w:tabs>
          <w:tab w:val="clear" w:pos="4320"/>
          <w:tab w:val="clear" w:pos="8640"/>
        </w:tabs>
        <w:spacing w:lineRule="auto" w:line="480"/>
        <w:ind w:start="1627" w:end="0"/>
        <w:rPr/>
      </w:pPr>
      <w:r>
        <w:rPr/>
      </w:r>
    </w:p>
    <w:p>
      <w:pPr>
        <w:pStyle w:val="Footer"/>
        <w:numPr>
          <w:ilvl w:val="0"/>
          <w:numId w:val="4"/>
        </w:numPr>
        <w:tabs>
          <w:tab w:val="clear" w:pos="4320"/>
          <w:tab w:val="clear" w:pos="8640"/>
        </w:tabs>
        <w:spacing w:lineRule="auto" w:line="480"/>
        <w:rPr>
          <w:b/>
        </w:rPr>
      </w:pPr>
      <w:r>
        <w:rPr>
          <w:b/>
        </w:rPr>
        <w:t>In a fully competitive electricity business, a market will emerge for important risk protection products such as call options.  Price caps may appear to give the same protection for free but, in truth, by stifling the emergence of the market for these products, consumers may pay even more.</w:t>
      </w:r>
    </w:p>
    <w:p>
      <w:pPr>
        <w:pStyle w:val="Footer"/>
        <w:numPr>
          <w:ilvl w:val="0"/>
          <w:numId w:val="12"/>
        </w:numPr>
        <w:tabs>
          <w:tab w:val="clear" w:pos="4320"/>
          <w:tab w:val="clear" w:pos="8640"/>
          <w:tab w:val="left" w:pos="1440" w:leader="none"/>
        </w:tabs>
        <w:spacing w:lineRule="auto" w:line="480"/>
        <w:ind w:hanging="360" w:start="1440" w:end="0"/>
        <w:rPr>
          <w:b/>
        </w:rPr>
      </w:pPr>
      <w:r>
        <w:rPr/>
        <w:t>Any spot market, especially one for a capital-intensive industry, can be inherently volatile.</w:t>
      </w:r>
    </w:p>
    <w:p>
      <w:pPr>
        <w:pStyle w:val="Footer"/>
        <w:numPr>
          <w:ilvl w:val="0"/>
          <w:numId w:val="12"/>
        </w:numPr>
        <w:tabs>
          <w:tab w:val="clear" w:pos="4320"/>
          <w:tab w:val="clear" w:pos="8640"/>
          <w:tab w:val="left" w:pos="1440" w:leader="none"/>
        </w:tabs>
        <w:spacing w:lineRule="auto" w:line="480"/>
        <w:ind w:hanging="360" w:start="1440" w:end="0"/>
        <w:rPr>
          <w:b/>
        </w:rPr>
      </w:pPr>
      <w:r>
        <w:rPr/>
        <w:t>Therefore, some consumers will want risk protection.  For example, consumers may want to be protected from prices above a certain level.</w:t>
      </w:r>
    </w:p>
    <w:p>
      <w:pPr>
        <w:pStyle w:val="Footer"/>
        <w:numPr>
          <w:ilvl w:val="0"/>
          <w:numId w:val="12"/>
        </w:numPr>
        <w:tabs>
          <w:tab w:val="clear" w:pos="4320"/>
          <w:tab w:val="clear" w:pos="8640"/>
          <w:tab w:val="left" w:pos="1440" w:leader="none"/>
        </w:tabs>
        <w:spacing w:lineRule="auto" w:line="480"/>
        <w:ind w:hanging="360" w:start="1440" w:end="0"/>
        <w:rPr>
          <w:b/>
        </w:rPr>
      </w:pPr>
      <w:r>
        <w:rPr/>
        <w:t>For this purpose consumers can turn to the marketplace to buy products such as call options.  For example, a consumer could make an up front payment (“option payment”) to have the right to buy electricity at $250/MWH in any peak period.  If the actual price rose above this level, the consumer would exercise its right and, thereby, be protected against prices above $250/MWH.</w:t>
      </w:r>
    </w:p>
    <w:p>
      <w:pPr>
        <w:pStyle w:val="Footer"/>
        <w:numPr>
          <w:ilvl w:val="0"/>
          <w:numId w:val="12"/>
        </w:numPr>
        <w:tabs>
          <w:tab w:val="clear" w:pos="4320"/>
          <w:tab w:val="clear" w:pos="8640"/>
          <w:tab w:val="left" w:pos="1440" w:leader="none"/>
        </w:tabs>
        <w:spacing w:lineRule="auto" w:line="480"/>
        <w:ind w:hanging="360" w:start="1440" w:end="0"/>
        <w:rPr>
          <w:b/>
        </w:rPr>
      </w:pPr>
      <w:r>
        <w:rPr/>
        <w:t xml:space="preserve">A $250/MWH price cap would appear to offer the same risk protection and to do so </w:t>
      </w:r>
      <w:r>
        <w:rPr>
          <w:i/>
        </w:rPr>
        <w:t>at no charge</w:t>
      </w:r>
      <w:r>
        <w:rPr/>
        <w:t xml:space="preserve">.  In truth, the risk remains and consumers will bare the cost nonetheless.  </w:t>
      </w:r>
    </w:p>
    <w:p>
      <w:pPr>
        <w:pStyle w:val="Footer"/>
        <w:numPr>
          <w:ilvl w:val="0"/>
          <w:numId w:val="12"/>
        </w:numPr>
        <w:tabs>
          <w:tab w:val="clear" w:pos="4320"/>
          <w:tab w:val="clear" w:pos="8640"/>
          <w:tab w:val="left" w:pos="1440" w:leader="none"/>
        </w:tabs>
        <w:spacing w:lineRule="auto" w:line="480"/>
        <w:ind w:hanging="360" w:start="1440" w:end="0"/>
        <w:rPr>
          <w:b/>
        </w:rPr>
      </w:pPr>
      <w:r>
        <w:rPr/>
        <w:t>For example, if a price greater than $250 must be paid to assure supply, the ISO will make emergency purchases and pass that high cost on to the consumers.  Or, if higher cost supply is not procured, consumers will bear the cost in the form of unmet electricity needs and lost business.</w:t>
      </w:r>
    </w:p>
    <w:p>
      <w:pPr>
        <w:pStyle w:val="Footer"/>
        <w:numPr>
          <w:ilvl w:val="0"/>
          <w:numId w:val="12"/>
        </w:numPr>
        <w:tabs>
          <w:tab w:val="clear" w:pos="4320"/>
          <w:tab w:val="clear" w:pos="8640"/>
          <w:tab w:val="left" w:pos="1440" w:leader="none"/>
        </w:tabs>
        <w:spacing w:lineRule="auto" w:line="480"/>
        <w:ind w:hanging="360" w:start="1440" w:end="0"/>
        <w:rPr>
          <w:b/>
        </w:rPr>
      </w:pPr>
      <w:r>
        <w:rPr/>
        <w:t xml:space="preserve">A private market for risk mitigation has the advantage that (a) only those who want protection pay and (b) competition minimizes the cost.  Price caps stifle the emergence of such a market. </w:t>
      </w:r>
    </w:p>
    <w:p>
      <w:pPr>
        <w:pStyle w:val="Footer"/>
        <w:tabs>
          <w:tab w:val="clear" w:pos="4320"/>
          <w:tab w:val="clear" w:pos="8640"/>
        </w:tabs>
        <w:spacing w:lineRule="auto" w:line="480"/>
        <w:rPr>
          <w:b/>
        </w:rPr>
      </w:pPr>
      <w:r>
        <w:rPr>
          <w:b/>
        </w:rPr>
      </w:r>
    </w:p>
    <w:p>
      <w:pPr>
        <w:pStyle w:val="Footer"/>
        <w:tabs>
          <w:tab w:val="clear" w:pos="4320"/>
          <w:tab w:val="clear" w:pos="8640"/>
        </w:tabs>
        <w:spacing w:lineRule="auto" w:line="480"/>
        <w:rPr/>
      </w:pPr>
      <w:r>
        <w:rPr/>
      </w:r>
    </w:p>
    <w:p>
      <w:pPr>
        <w:pStyle w:val="Footer"/>
        <w:tabs>
          <w:tab w:val="clear" w:pos="4320"/>
          <w:tab w:val="clear" w:pos="8640"/>
        </w:tabs>
        <w:spacing w:lineRule="auto" w:line="480"/>
        <w:ind w:hanging="360" w:start="1080" w:end="0"/>
        <w:rPr>
          <w:b/>
        </w:rPr>
      </w:pPr>
      <w:r>
        <w:rPr>
          <w:b/>
        </w:rPr>
        <w:t>6.  Experience this summer shows that prices well in excess of $1,000/MWH were required to secure a demand side response in California, and that customers that require high reliability are looking for their own solutions.</w:t>
      </w:r>
    </w:p>
    <w:p>
      <w:pPr>
        <w:pStyle w:val="Footer"/>
        <w:numPr>
          <w:ilvl w:val="0"/>
          <w:numId w:val="10"/>
        </w:numPr>
        <w:tabs>
          <w:tab w:val="clear" w:pos="4320"/>
          <w:tab w:val="clear" w:pos="8640"/>
        </w:tabs>
        <w:spacing w:lineRule="auto" w:line="480"/>
        <w:rPr/>
      </w:pPr>
      <w:r>
        <w:rPr/>
        <w:t>The California Demand Relief Program will pay at least $1,307/MWH in energy and capacity payments to curtail load.  The program drew bids for 180.25 MW, far below the desired level of 1,000 MW.</w:t>
      </w:r>
    </w:p>
    <w:p>
      <w:pPr>
        <w:pStyle w:val="Footer"/>
        <w:numPr>
          <w:ilvl w:val="0"/>
          <w:numId w:val="10"/>
        </w:numPr>
        <w:tabs>
          <w:tab w:val="clear" w:pos="4320"/>
          <w:tab w:val="clear" w:pos="8640"/>
        </w:tabs>
        <w:spacing w:lineRule="auto" w:line="480"/>
        <w:rPr/>
      </w:pPr>
      <w:r>
        <w:rPr/>
        <w:t>A Load Reduction Pilot Program in the PJM Interconnection set a $500/MWH minimum price for load curtailment.</w:t>
      </w:r>
    </w:p>
    <w:p>
      <w:pPr>
        <w:pStyle w:val="Footer"/>
        <w:numPr>
          <w:ilvl w:val="0"/>
          <w:numId w:val="10"/>
        </w:numPr>
        <w:tabs>
          <w:tab w:val="clear" w:pos="4320"/>
          <w:tab w:val="clear" w:pos="8640"/>
        </w:tabs>
        <w:spacing w:lineRule="auto" w:line="480"/>
        <w:rPr/>
      </w:pPr>
      <w:r>
        <w:rPr/>
        <w:t>A high value is also being placed on reliability for some enterprises.  High-technology companies that rely on highly reliable electricity service have begun to turn towards distributed generation solutions and proprietary transmission and distribution systems to insure the health of their core business.</w:t>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extDirection w:val="lrTb"/>
          <w:docGrid w:type="default" w:linePitch="360" w:charSpace="0"/>
        </w:sectPr>
        <w:pStyle w:val="Footer"/>
        <w:tabs>
          <w:tab w:val="clear" w:pos="4320"/>
          <w:tab w:val="clear" w:pos="8640"/>
        </w:tabs>
        <w:spacing w:lineRule="auto" w:line="480"/>
        <w:rPr/>
      </w:pPr>
      <w:r>
        <w:rPr/>
      </w:r>
    </w:p>
    <w:p>
      <w:pPr>
        <w:pStyle w:val="Footer"/>
        <w:tabs>
          <w:tab w:val="clear" w:pos="4320"/>
          <w:tab w:val="clear" w:pos="8640"/>
        </w:tabs>
        <w:spacing w:lineRule="auto" w:line="480"/>
        <w:jc w:val="center"/>
        <w:rPr>
          <w:b/>
        </w:rPr>
      </w:pPr>
      <w:r>
        <w:rPr>
          <w:b/>
        </w:rPr>
        <w:t>II.  FREQUENCY AND IMPACT OF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5">
                <wp:simplePos x="0" y="0"/>
                <wp:positionH relativeFrom="column">
                  <wp:posOffset>51435</wp:posOffset>
                </wp:positionH>
                <wp:positionV relativeFrom="paragraph">
                  <wp:posOffset>93980</wp:posOffset>
                </wp:positionV>
                <wp:extent cx="5715000" cy="0"/>
                <wp:effectExtent l="0" t="14605" r="0" b="14605"/>
                <wp:wrapNone/>
                <wp:docPr id="4"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7.4pt" to="454pt,7.4pt" stroked="t" o:allowincell="f" style="position:absolute">
                <v:stroke color="black" weight="28440" joinstyle="miter" endcap="flat"/>
                <v:fill o:detectmouseclick="t" on="false"/>
                <w10:wrap type="none"/>
              </v:line>
            </w:pict>
          </mc:Fallback>
        </mc:AlternateContent>
      </w:r>
    </w:p>
    <w:p>
      <w:pPr>
        <w:pStyle w:val="Heading1"/>
        <w:ind w:hanging="0" w:start="0"/>
        <w:rPr/>
      </w:pPr>
      <w:r>
        <w:rPr/>
        <w:t>OVERVIEW OF METHODOLOGY</w:t>
      </w:r>
    </w:p>
    <w:p>
      <w:pPr>
        <w:pStyle w:val="Normal"/>
        <w:spacing w:lineRule="auto" w:line="480"/>
        <w:rPr/>
      </w:pPr>
      <w:r>
        <w:rPr/>
        <w:tab/>
        <w:t>Our first step was to download hourly prices for each of the products covered herein from the websites of the California PX, California ISO, PJM Interconnection, and ISO New England.  To create a useable database, the format of the data had to be changed and made compatible in MS Excel.  The data were then transferred to MS Access so we could query the data.  Because the price data were assembled for all available hours for all products, the database includes hundreds of thousands of prices, over 300,000 for California alone.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second step was to define the threshold for a price spike.  It is not unusual to see time-of-use rates in some areas with energy charges approaching 10¢/kwh</w:t>
      </w:r>
      <w:r>
        <w:rPr>
          <w:rStyle w:val="FootnoteCharacters"/>
          <w:rStyle w:val="FootnoteReference"/>
        </w:rPr>
        <w:footnoteReference w:id="2"/>
      </w:r>
      <w:r>
        <w:rPr/>
        <w:t>, the equivalent of $100/MWH.  For this reason, we would be hard pressed to suggest a threshold below $100.  Since price caps in the ISO markets include those at $250, $500, $750, and $1,000, we chose these as additional thresholds.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third step was to identify the ISOs to be included in the report.  We chose the California ISO, PJM Interconnection, and ISO New England because each provides at least twelve months of price data.</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fourth step was to define the time periods over which results will be determined.  For California, since ancillary service prices were available only through July 31, our fiscal year 2000/1999 (FY00/99) includes the period from August 1, 1999 through July 31, 2000.  Fiscal year 1999/1998 (FY99/98) covers the preceding twelve months.  Note that FY00/99 includes a leap day so comparison of customers’ bills must take this into account.</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For PJM and New England, partial data for August 2000 were available.  Therefore, FY00/99 covers August 16, 1999 through August 15, 2000.  FY99/98 covers the preceding twelve months.</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final step was to query the databases developed to count the hours in which prices equaled or exceeded the relevant thresholds.  As discussed later, these queries were done under different scenarios.</w:t>
      </w:r>
    </w:p>
    <w:p>
      <w:pPr>
        <w:pStyle w:val="Footer"/>
        <w:tabs>
          <w:tab w:val="clear" w:pos="4320"/>
          <w:tab w:val="clear" w:pos="8640"/>
        </w:tabs>
        <w:spacing w:lineRule="auto" w:line="480"/>
        <w:rPr/>
      </w:pPr>
      <w:r>
        <w:rPr/>
      </w:r>
    </w:p>
    <w:p>
      <w:pPr>
        <w:pStyle w:val="Heading2"/>
        <w:ind w:start="0" w:end="0"/>
        <w:rPr/>
      </w:pPr>
      <w:r>
        <w:rPr/>
        <w:t>CALIFORNIA PX AND ISO MARKETS</w:t>
      </w:r>
    </w:p>
    <w:p>
      <w:pPr>
        <w:pStyle w:val="BodyTextIndent"/>
        <w:ind w:firstLine="720" w:start="0" w:end="0"/>
        <w:rPr/>
      </w:pPr>
      <w:r>
        <w:rPr/>
        <w:t>The California PX manages two energy markets – the Day-Ahead Market and the Day-Of/Hour-Ahead Market.  The California ISO manages a Real-Time Energy Market and four Ancillary Service Markets.</w:t>
      </w:r>
    </w:p>
    <w:p>
      <w:pPr>
        <w:pStyle w:val="Normal"/>
        <w:spacing w:lineRule="auto" w:line="480"/>
        <w:rPr/>
      </w:pPr>
      <w:r>
        <w:rPr/>
      </w:r>
    </w:p>
    <w:p>
      <w:pPr>
        <w:pStyle w:val="Normal"/>
        <w:spacing w:lineRule="auto" w:line="480"/>
        <w:ind w:firstLine="720" w:end="0"/>
        <w:rPr/>
      </w:pPr>
      <w:r>
        <w:rPr/>
        <w:t>The ISO has consistently imposed price caps in the markets it manages.  In July 1998, the ISO started with a $500/MW price cap for Ancillary Services, but the price cap was dropped to $250/MW in the same month.  In January 1999, a $250/MWH price cap was extended to the real-time market.  On September 31, 1999, the price cap for Ancillary Services and Real-Time energy was increased to $750.  By June 28, 2000, the price cap was reduced to $500.  On August 7, 2000, the price cap was brought back down to $250.</w:t>
      </w:r>
    </w:p>
    <w:p>
      <w:pPr>
        <w:pStyle w:val="Normal"/>
        <w:spacing w:lineRule="auto" w:line="480"/>
        <w:rPr/>
      </w:pPr>
      <w:r>
        <w:rPr/>
      </w:r>
    </w:p>
    <w:p>
      <w:pPr>
        <w:pStyle w:val="Normal"/>
        <w:spacing w:lineRule="auto" w:line="480"/>
        <w:ind w:firstLine="720" w:end="0"/>
        <w:rPr/>
      </w:pPr>
      <w:r>
        <w:rPr/>
        <w:t xml:space="preserve">One key point to keep in mind when reviewing the results is that, for most of FY99/98, a $250 price cap was in place.  It seems that this set a </w:t>
      </w:r>
      <w:r>
        <w:rPr>
          <w:i/>
        </w:rPr>
        <w:t>de facto</w:t>
      </w:r>
      <w:r>
        <w:rPr/>
        <w:t xml:space="preserve"> price cap of $250 on all products including the energy markets run by the PX.  We say this because it would make no sense for anyone to willingly pay more than $250/MWH in the Day-Ahead Market if it was clear that they would be served in the Real-Time market or by Ancillary Services at $250.  The results presented below generally support this view that a </w:t>
      </w:r>
      <w:r>
        <w:rPr>
          <w:i/>
        </w:rPr>
        <w:t>de facto</w:t>
      </w:r>
      <w:r>
        <w:rPr/>
        <w:t xml:space="preserve"> price cap existed.</w:t>
      </w:r>
    </w:p>
    <w:p>
      <w:pPr>
        <w:pStyle w:val="Normal"/>
        <w:spacing w:lineRule="auto" w:line="480"/>
        <w:rPr/>
      </w:pPr>
      <w:r>
        <w:rPr/>
      </w:r>
    </w:p>
    <w:p>
      <w:pPr>
        <w:pStyle w:val="Heading3"/>
        <w:ind w:start="720" w:end="0"/>
        <w:rPr/>
      </w:pPr>
      <w:r>
        <w:rPr/>
        <w:t>The PX Energy Market</w:t>
      </w:r>
    </w:p>
    <w:p>
      <w:pPr>
        <w:pStyle w:val="Normal"/>
        <w:spacing w:lineRule="auto" w:line="480"/>
        <w:ind w:firstLine="720" w:end="0"/>
        <w:rPr/>
      </w:pPr>
      <w:r>
        <w:rPr/>
        <w:t>As seen in Table A1, in the most recent twelve-month period (FY00/99), prices in the PX Day-Ahead Market equaled or exceeded $100/MWH in 413 hours or 4.7% of the time.  This is an increase from 104 hours or 1.2% of the time in the preceding twelve months (FY99/98).</w:t>
      </w:r>
    </w:p>
    <w:p>
      <w:pPr>
        <w:pStyle w:val="Normal"/>
        <w:spacing w:lineRule="auto" w:line="480"/>
        <w:rPr/>
      </w:pPr>
      <w:r>
        <w:rPr/>
      </w:r>
    </w:p>
    <w:p>
      <w:pPr>
        <w:pStyle w:val="Normal"/>
        <w:spacing w:lineRule="auto" w:line="480"/>
        <w:ind w:firstLine="720" w:end="0"/>
        <w:rPr/>
      </w:pPr>
      <w:r>
        <w:rPr/>
        <w:t xml:space="preserve">In FY00/99, prices in the PX Day-Ahead Market equaled or exceeded $250/MWH in 176 hours or 2.0% of the time.  The prices never equaled or exceeded $250/MWH in the preceding Fiscal Year; a fact that may be attributable to the California ISO’s </w:t>
      </w:r>
      <w:r>
        <w:rPr>
          <w:i/>
        </w:rPr>
        <w:t>de facto</w:t>
      </w:r>
      <w:r>
        <w:rPr/>
        <w:t xml:space="preserve"> price cap.</w:t>
      </w:r>
    </w:p>
    <w:p>
      <w:pPr>
        <w:pStyle w:val="Normal"/>
        <w:spacing w:lineRule="auto" w:line="480"/>
        <w:rPr/>
      </w:pPr>
      <w:r>
        <w:rPr/>
      </w:r>
    </w:p>
    <w:p>
      <w:pPr>
        <w:pStyle w:val="Normal"/>
        <w:spacing w:lineRule="auto" w:line="480"/>
        <w:ind w:firstLine="720" w:end="0"/>
        <w:rPr/>
      </w:pPr>
      <w:r>
        <w:rPr/>
        <w:t xml:space="preserve">In FY00/99, the price in the PX Day-Ahead Market equaled or exceeded $500/MWH in only 45 hours or 0.5% of the time.  Because of the ISO imposed </w:t>
      </w:r>
      <w:r>
        <w:rPr>
          <w:i/>
        </w:rPr>
        <w:t>de facto</w:t>
      </w:r>
      <w:r>
        <w:rPr/>
        <w:t xml:space="preserve"> cap of $750/MWH, the price never equaled or exceeded $750/MWH.</w:t>
      </w:r>
    </w:p>
    <w:p>
      <w:pPr>
        <w:pStyle w:val="Normal"/>
        <w:spacing w:lineRule="auto" w:line="480"/>
        <w:rPr/>
      </w:pPr>
      <w:r>
        <w:rPr/>
      </w:r>
    </w:p>
    <w:p>
      <w:pPr>
        <w:pStyle w:val="Normal"/>
        <w:spacing w:lineRule="auto" w:line="480"/>
        <w:ind w:firstLine="720" w:end="0"/>
        <w:rPr/>
      </w:pPr>
      <w:r>
        <w:rPr/>
        <w:t>In FY00/99, as seen in Table A2, 80% of the prices at or above $100/MWH were seen in June and July of 2000; in these two months, respectively, prices exceeded the $100/MWH threshold 157 and 174 times or 21.8% and 23.4% of the time.  A separate analysis of the prices in August 2000 show a sharp increase in the number of hours breaching the $100/MWH threshold.  In August 2000, 66.7%, or 496, of the hours were above $100/MWH.  In spite of the $250/MWH price cap instituted on August 7, 2000, 7.0% of the hours in August 2000 were at or above $250/MWH.</w:t>
      </w:r>
    </w:p>
    <w:p>
      <w:pPr>
        <w:pStyle w:val="Normal"/>
        <w:spacing w:lineRule="auto" w:line="480"/>
        <w:rPr/>
      </w:pPr>
      <w:r>
        <w:rPr/>
      </w:r>
    </w:p>
    <w:p>
      <w:pPr>
        <w:pStyle w:val="Normal"/>
        <w:spacing w:lineRule="auto" w:line="480"/>
        <w:ind w:firstLine="720" w:end="0"/>
        <w:rPr/>
      </w:pPr>
      <w:r>
        <w:rPr/>
        <w:t>To calculate a rough measure of the effect of price spikes on customers, we calculated the annual for two hypothetical customer load profiles.  To approximate the load profile of a customer, we created a hypothetical 100% Load Factor Customer and a 50% Load Factor Customer.  The first, the 100% Load Factor Customer, is assumed to buy 1 MWH in each and every hour of the year.  The second, the 50% Load Factor Customer, buys 1 MWH in each of the hours that constitute the most expensive half of the hours of the year.  While we used hypothetical load profiles, the actual prices observed in the energy markets are used to calculate annual bills for FY00/99 and FY99/98.  The results are shown in Table A3.</w:t>
      </w:r>
    </w:p>
    <w:p>
      <w:pPr>
        <w:pStyle w:val="Normal"/>
        <w:spacing w:lineRule="auto" w:line="480"/>
        <w:rPr/>
      </w:pPr>
      <w:r>
        <w:rPr/>
      </w:r>
    </w:p>
    <w:p>
      <w:pPr>
        <w:pStyle w:val="Normal"/>
        <w:spacing w:lineRule="auto" w:line="480"/>
        <w:ind w:start="720" w:end="0"/>
        <w:rPr/>
      </w:pPr>
      <w:r>
        <w:rPr>
          <w:b/>
        </w:rPr>
        <w:t>The 100% Load Factor Customer:</w:t>
      </w:r>
      <w:r>
        <w:rPr/>
        <w:t xml:space="preserve">  In FY00/99, the 100% Load Factor Customer would have incurred an annual bill of $417,529 or an average of $47.53/MWH.  In the preceding twelve months (FY99/98), that customer would have incurred an annual bill of $229,636 or an average of $26.21/MWH.  Thus, in FY00/99, as compared to the preceding FY99/98, this customer saw an increase in its average price paid in the Day-Ahead Market of 81%.</w:t>
      </w:r>
    </w:p>
    <w:p>
      <w:pPr>
        <w:pStyle w:val="Normal"/>
        <w:spacing w:lineRule="auto" w:line="480"/>
        <w:rPr/>
      </w:pPr>
      <w:r>
        <w:rPr/>
      </w:r>
    </w:p>
    <w:p>
      <w:pPr>
        <w:pStyle w:val="Normal"/>
        <w:spacing w:lineRule="auto" w:line="480"/>
        <w:ind w:start="720" w:end="0"/>
        <w:rPr/>
      </w:pPr>
      <w:r>
        <w:rPr/>
        <w:t>We tested the effect a $250/MWH price cap would have had on the 100% Load Factor Customer.  That is, we replaced any price above $250/MWH with a price set equal to $250/MWH.  The effect of imposing the $250/MWH price cap in FY00/99 was to reduce this customer’s annual bill by only 9%.  Put another way, if the price cap had been in place, this customer’s annual bill, as compared to that for the preceding fiscal year, would still have increased by 66% instead of 81%.  (Note that our test assumes that the price cap would not have reduced supply even further; that is, it puts aside the issue of whether price caps lead to shortages.)</w:t>
      </w:r>
    </w:p>
    <w:p>
      <w:pPr>
        <w:pStyle w:val="Normal"/>
        <w:spacing w:lineRule="auto" w:line="480"/>
        <w:rPr/>
      </w:pPr>
      <w:r>
        <w:rPr/>
      </w:r>
    </w:p>
    <w:p>
      <w:pPr>
        <w:pStyle w:val="Normal"/>
        <w:spacing w:lineRule="auto" w:line="480"/>
        <w:ind w:start="720" w:end="0"/>
        <w:rPr/>
      </w:pPr>
      <w:r>
        <w:rPr>
          <w:b/>
        </w:rPr>
        <w:t>The 50% Load Factor Customer:</w:t>
      </w:r>
      <w:r>
        <w:rPr/>
        <w:t xml:space="preserve"> In FY00/99, the 50% Load Factor Customer would incur an annual bill of $301,167 or an average of $68.57/MWH.  In the preceding twelve months (FY99/98), that customer would have incurred an annual bill of $150,597 or an average of $34.38/MWH.  Thus, in FY00/99, as compared to the preceding FY99/98, this customer saw an increase in its average price paid in the Day-Ahead Market of 99%.</w:t>
      </w:r>
    </w:p>
    <w:p>
      <w:pPr>
        <w:pStyle w:val="Normal"/>
        <w:spacing w:lineRule="auto" w:line="480"/>
        <w:rPr/>
      </w:pPr>
      <w:r>
        <w:rPr/>
      </w:r>
    </w:p>
    <w:p>
      <w:pPr>
        <w:pStyle w:val="Normal"/>
        <w:spacing w:lineRule="auto" w:line="480"/>
        <w:ind w:start="720" w:end="0"/>
        <w:rPr/>
      </w:pPr>
      <w:r>
        <w:rPr/>
        <w:t>We tested the effect a $250/MWH price cap would have had on the 50% Load Factor Customer, too.  That is, we replaced any price above $250/MWH with a price set equal to $250/MWH.  The effect of imposing the $250/MWH price cap in FY00/99 was to reduce this average price paid by only 12%.  Put another way, if the price cap had been in place, this customer’s average price paid, as compared to that for the preceding fiscal year, still would have increased by 76% instead of 99%.</w:t>
      </w:r>
    </w:p>
    <w:p>
      <w:pPr>
        <w:pStyle w:val="Normal"/>
        <w:spacing w:lineRule="auto" w:line="480"/>
        <w:rPr/>
      </w:pPr>
      <w:r>
        <w:rPr/>
        <w:t xml:space="preserve">Although our hypothetical customer bills obviously drop when price caps were applied to the model, the vast majority of the increase year over year would not have been blocked by the $250 price cap.  </w:t>
      </w:r>
    </w:p>
    <w:p>
      <w:pPr>
        <w:pStyle w:val="Normal"/>
        <w:spacing w:lineRule="auto" w:line="480"/>
        <w:rPr/>
      </w:pPr>
      <w:r>
        <w:rPr/>
      </w:r>
    </w:p>
    <w:p>
      <w:pPr>
        <w:pStyle w:val="Heading2"/>
        <w:rPr/>
      </w:pPr>
      <w:r>
        <w:rPr/>
        <w:t>The California ISO Markets</w:t>
      </w:r>
    </w:p>
    <w:p>
      <w:pPr>
        <w:pStyle w:val="Normal"/>
        <w:spacing w:lineRule="auto" w:line="480"/>
        <w:ind w:firstLine="720" w:end="0"/>
        <w:rPr/>
      </w:pPr>
      <w:r>
        <w:rPr/>
        <w:t>In the ISO’s Real-Time Energy Market, the prices are shown separately for two zones, SP15 and NP15.</w:t>
      </w:r>
    </w:p>
    <w:p>
      <w:pPr>
        <w:pStyle w:val="Normal"/>
        <w:spacing w:lineRule="auto" w:line="480"/>
        <w:rPr/>
      </w:pPr>
      <w:r>
        <w:rPr/>
      </w:r>
    </w:p>
    <w:p>
      <w:pPr>
        <w:pStyle w:val="Normal"/>
        <w:spacing w:lineRule="auto" w:line="480"/>
        <w:ind w:firstLine="720" w:end="0"/>
        <w:rPr/>
      </w:pPr>
      <w:r>
        <w:rPr/>
        <w:t>In NP15, for FY00/99, Table A6 shows that prices equaled or exceeded the $100/MWH price level 708 times or 8.1% of the time.  In the preceding twelve months (FY99/98), prices exceeded this level in 155 hours or 1.8% of the time.</w:t>
      </w:r>
    </w:p>
    <w:p>
      <w:pPr>
        <w:pStyle w:val="Normal"/>
        <w:spacing w:lineRule="auto" w:line="480"/>
        <w:rPr/>
      </w:pPr>
      <w:r>
        <w:rPr/>
      </w:r>
    </w:p>
    <w:p>
      <w:pPr>
        <w:pStyle w:val="Normal"/>
        <w:spacing w:lineRule="auto" w:line="480"/>
        <w:ind w:firstLine="720" w:end="0"/>
        <w:rPr/>
      </w:pPr>
      <w:r>
        <w:rPr/>
        <w:t>For SP15, in FY00/99, Table A4 shows that prices equaled or exceeded the $100/MWH price level 606 times or 6.9% of the time.  In the preceding twelve months (FY99/98), prices exceeded this level in 142 hours or 1.6% of the time.</w:t>
      </w:r>
    </w:p>
    <w:p>
      <w:pPr>
        <w:pStyle w:val="Normal"/>
        <w:spacing w:lineRule="auto" w:line="480"/>
        <w:rPr>
          <w:rFonts w:eastAsia="CG Times"/>
        </w:rPr>
      </w:pPr>
      <w:r>
        <w:rPr>
          <w:rFonts w:eastAsia="CG Times"/>
        </w:rPr>
        <w:t xml:space="preserve">  </w:t>
      </w:r>
    </w:p>
    <w:p>
      <w:pPr>
        <w:pStyle w:val="Normal"/>
        <w:spacing w:lineRule="auto" w:line="480"/>
        <w:ind w:firstLine="720" w:end="0"/>
        <w:rPr/>
      </w:pPr>
      <w:r>
        <w:rPr/>
        <w:t>In NP15 prices equaled or exceeded the $250/MWH level in 216 hours in FY00/99 or 2.5% of the time.  In this same zone, prices in FY00/99 equaled or exceeded $500/MWH in 83 hours or 0.9% of the time.</w:t>
      </w:r>
    </w:p>
    <w:p>
      <w:pPr>
        <w:pStyle w:val="Normal"/>
        <w:spacing w:lineRule="auto" w:line="480"/>
        <w:rPr/>
      </w:pPr>
      <w:r>
        <w:rPr/>
      </w:r>
    </w:p>
    <w:p>
      <w:pPr>
        <w:pStyle w:val="Normal"/>
        <w:spacing w:lineRule="auto" w:line="480"/>
        <w:ind w:firstLine="720" w:end="0"/>
        <w:rPr/>
      </w:pPr>
      <w:r>
        <w:rPr/>
        <w:t>In SP15 for FY00/99, prices equaled or exceeded $250/MWH on 220 occasions or 2.5% of the time.  In this same zone, prices exceeded $500/MWH in 100 hours or 1.1% of the time.</w:t>
      </w:r>
    </w:p>
    <w:p>
      <w:pPr>
        <w:pStyle w:val="Normal"/>
        <w:spacing w:lineRule="auto" w:line="480"/>
        <w:rPr/>
      </w:pPr>
      <w:r>
        <w:rPr/>
      </w:r>
    </w:p>
    <w:p>
      <w:pPr>
        <w:pStyle w:val="Normal"/>
        <w:spacing w:lineRule="auto" w:line="480"/>
        <w:ind w:firstLine="720" w:end="0"/>
        <w:rPr/>
      </w:pPr>
      <w:r>
        <w:rPr/>
        <w:t>Results for each of the Ancillary Services Markets of the ISO are presented in Tables A8 through A23.</w:t>
      </w:r>
      <w:r>
        <w:rPr>
          <w:rStyle w:val="FootnoteCharacters"/>
          <w:rStyle w:val="FootnoteReference"/>
        </w:rPr>
        <w:footnoteReference w:id="3"/>
      </w:r>
      <w:r>
        <w:rPr/>
        <w:t xml:space="preserve">  One interesting finding with respect to these markets is that, in several cases, the number of prices exceeding price thresholds actually is down in FY00/99 as compared to the preceding fiscal year.  However, the price spikes appear to be sharper, because prices equal to or exceed $500 emerge.  However, the ISO cap in FY99/98 blocked any prices above $250 so the comparison is inappropriate.</w:t>
      </w:r>
    </w:p>
    <w:p>
      <w:pPr>
        <w:pStyle w:val="Normal"/>
        <w:spacing w:lineRule="auto" w:line="480"/>
        <w:rPr/>
      </w:pPr>
      <w:r>
        <w:rPr/>
      </w:r>
    </w:p>
    <w:p>
      <w:pPr>
        <w:pStyle w:val="Normal"/>
        <w:spacing w:lineRule="auto" w:line="480"/>
        <w:ind w:firstLine="720" w:end="0"/>
        <w:rPr/>
      </w:pPr>
      <w:r>
        <w:rPr/>
        <w:t>For example, in Table A19, for the Ancillary Service denoted as Load Non-Spinning Reserve NP15, the price equaled or exceeded $100/MW in 112 hours or 1.3% in FY00/99 as compared to 140 times or 1.6% of the time in the preceding fiscal year.  The number of hours in which prices equaled or exceeded $250/MW also was higher in the earlier fiscal year (87 v. 64).  However, the price never equaled or exceeded $500/MW in FY99/98 while it did so 38 times in FY00/99.</w:t>
      </w:r>
    </w:p>
    <w:p>
      <w:pPr>
        <w:pStyle w:val="Normal"/>
        <w:spacing w:lineRule="auto" w:line="480"/>
        <w:rPr/>
      </w:pPr>
      <w:r>
        <w:rPr/>
      </w:r>
    </w:p>
    <w:p>
      <w:pPr>
        <w:pStyle w:val="Heading1"/>
        <w:ind w:hanging="0" w:start="0"/>
        <w:rPr/>
      </w:pPr>
      <w:r>
        <w:rPr/>
        <w:t>PJM INTERCONNECTION ENERGY MARKET</w:t>
      </w:r>
    </w:p>
    <w:p>
      <w:pPr>
        <w:pStyle w:val="Normal"/>
        <w:spacing w:lineRule="auto" w:line="480"/>
        <w:ind w:firstLine="720" w:end="0"/>
        <w:rPr/>
      </w:pPr>
      <w:r>
        <w:rPr/>
        <w:t>While the PJM Interconnection now has both a Day-Ahead and a Real-Time Energy Market, the Real-Time Market is the one with a substantial track record.  For this reason, we focused exclusively on this market.  A $1,000/MWH cap on bids has been in place in this market for the entire time period covered in our analysis.</w:t>
      </w:r>
    </w:p>
    <w:p>
      <w:pPr>
        <w:pStyle w:val="Normal"/>
        <w:spacing w:lineRule="auto" w:line="480"/>
        <w:rPr/>
      </w:pPr>
      <w:r>
        <w:rPr/>
      </w:r>
    </w:p>
    <w:p>
      <w:pPr>
        <w:pStyle w:val="Normal"/>
        <w:spacing w:lineRule="auto" w:line="480"/>
        <w:ind w:firstLine="720" w:end="0"/>
        <w:rPr/>
      </w:pPr>
      <w:r>
        <w:rPr/>
        <w:t>The notable difference between the PJM and the CAL-ISO record is that the most recent fiscal Year (FY00/99) has seen both the number of price spikes and the average prices paid decline from the preceding twelve-month period (FY99/98).  As seen in Table A24, in FY00/99, prices in the PJM Real-Time Energy Market equaled or exceeded the $100/MWH threshold in 41 hours or 0.5% of the time.  In FY99/98, prices equaled or exceeded this threshold 120 times or 1.4% of the time.  While neither rate of occurrence may be considered significant, last fiscal year saw three times the number of spikes as this year.</w:t>
      </w:r>
    </w:p>
    <w:p>
      <w:pPr>
        <w:pStyle w:val="Normal"/>
        <w:spacing w:lineRule="auto" w:line="480"/>
        <w:rPr/>
      </w:pPr>
      <w:r>
        <w:rPr/>
      </w:r>
    </w:p>
    <w:p>
      <w:pPr>
        <w:pStyle w:val="Normal"/>
        <w:spacing w:lineRule="auto" w:line="480"/>
        <w:ind w:firstLine="720" w:end="0"/>
        <w:rPr/>
      </w:pPr>
      <w:r>
        <w:rPr/>
        <w:t>In FY00/99, prices equaled or exceeded $250/MWH in only 11 hours and equaled or exceeded $500/MWH in only 2 hours.  This compares to prices in FY99/98 which were at or above $250/MWH in 85 hours and at or above $500 in 63 hours.  Prices never equaled or exceeded $750/MWH in the most recent twelve months and did so only 50 hours (0.6% of the time) in FY99/98.</w:t>
      </w:r>
    </w:p>
    <w:p>
      <w:pPr>
        <w:pStyle w:val="Normal"/>
        <w:spacing w:lineRule="auto" w:line="480"/>
        <w:rPr/>
      </w:pPr>
      <w:r>
        <w:rPr/>
      </w:r>
    </w:p>
    <w:p>
      <w:pPr>
        <w:pStyle w:val="Normal"/>
        <w:spacing w:lineRule="auto" w:line="480"/>
        <w:ind w:firstLine="720" w:end="0"/>
        <w:rPr/>
      </w:pPr>
      <w:r>
        <w:rPr/>
        <w:t>In the summer of 2000, as seen in Table A25, there were only 7 hours in which the price equaled or exceeded $100; note that this reflects only 15 days in August.  However, in the summer of 1999, prices equaled or exceeded $100 in 105 hours.  And in the summer of 1998, prices were at or above this threshold in 36 hours.</w:t>
      </w:r>
    </w:p>
    <w:p>
      <w:pPr>
        <w:pStyle w:val="Normal"/>
        <w:spacing w:lineRule="auto" w:line="480"/>
        <w:rPr/>
      </w:pPr>
      <w:r>
        <w:rPr/>
      </w:r>
    </w:p>
    <w:p>
      <w:pPr>
        <w:pStyle w:val="Normal"/>
        <w:spacing w:lineRule="auto" w:line="480"/>
        <w:ind w:firstLine="720" w:end="0"/>
        <w:rPr/>
      </w:pPr>
      <w:r>
        <w:rPr/>
        <w:t>With regard to impact on the hypothetical 100% and 50% Load Factor Customers, Table A26 displays the results.  Again, in contrast to the experience in California, the annual bill for our hypothetical customers fell in the most recent fiscal year as compared to the preceding fiscal year.  The 100% Load Factor Customer in the PJM Real-Time Energy Market had an annual bill in FY00/99 of $207,601 or $23.63/MWH on average.  In FY99/98, that same customer has an annual bill of $250,691 or $28.62/MWH on average.  This is a decline in the average price paid of 17% year-to-year.</w:t>
      </w:r>
    </w:p>
    <w:p>
      <w:pPr>
        <w:pStyle w:val="Normal"/>
        <w:spacing w:lineRule="auto" w:line="480"/>
        <w:rPr/>
      </w:pPr>
      <w:r>
        <w:rPr/>
      </w:r>
    </w:p>
    <w:p>
      <w:pPr>
        <w:pStyle w:val="Normal"/>
        <w:spacing w:lineRule="auto" w:line="480"/>
        <w:ind w:firstLine="720" w:end="0"/>
        <w:rPr/>
      </w:pPr>
      <w:r>
        <w:rPr/>
        <w:t xml:space="preserve">Although no one is even proposing lowering the price cap in PJM to $250, we calculated the cost impact of imposing such a cap.  For the 100% Load Factor customer, a $250/MWH cap would have cut costs by only 1% in FY00/99 and 16% in FY99/98. </w:t>
      </w:r>
    </w:p>
    <w:p>
      <w:pPr>
        <w:pStyle w:val="Normal"/>
        <w:spacing w:lineRule="auto" w:line="480"/>
        <w:rPr/>
      </w:pPr>
      <w:r>
        <w:rPr/>
      </w:r>
    </w:p>
    <w:p>
      <w:pPr>
        <w:pStyle w:val="Normal"/>
        <w:spacing w:lineRule="auto" w:line="480"/>
        <w:ind w:firstLine="720" w:end="0"/>
        <w:rPr/>
      </w:pPr>
      <w:r>
        <w:rPr/>
        <w:t>The 50% Load Factor Customer also saw a decline in its annual bill year-to-year.  In FY00/99, the annual bill would have been $148,575 or $33.83/MWH on average.  In the preceding twelve months (FY99/98), this customer would have seen annual bill of $189,432 or $43.25/MWH on average.  This is a decline of 22% year-to-year.</w:t>
      </w:r>
    </w:p>
    <w:p>
      <w:pPr>
        <w:pStyle w:val="Normal"/>
        <w:spacing w:lineRule="auto" w:line="480"/>
        <w:rPr/>
      </w:pPr>
      <w:r>
        <w:rPr/>
      </w:r>
    </w:p>
    <w:p>
      <w:pPr>
        <w:pStyle w:val="Normal"/>
        <w:spacing w:lineRule="auto" w:line="480"/>
        <w:ind w:firstLine="720" w:end="0"/>
        <w:rPr/>
      </w:pPr>
      <w:r>
        <w:rPr/>
        <w:t>Again, although no one is even proposing lowering the price cap in PJM to $250, we calculated the cost impact of imposing such a cap.  For the 50% Load Factor Customer, a $250/MWH cap would have cut costs by only 1% in FY00/99 and 21% in FY99/98.</w:t>
      </w:r>
    </w:p>
    <w:p>
      <w:pPr>
        <w:pStyle w:val="Normal"/>
        <w:spacing w:lineRule="auto" w:line="480"/>
        <w:rPr/>
      </w:pPr>
      <w:r>
        <w:rPr/>
      </w:r>
    </w:p>
    <w:p>
      <w:pPr>
        <w:pStyle w:val="Heading2"/>
        <w:ind w:start="0" w:end="0"/>
        <w:rPr/>
      </w:pPr>
      <w:r>
        <w:rPr/>
        <w:t>ISO NEW ENGLAND MARKETS</w:t>
      </w:r>
    </w:p>
    <w:p>
      <w:pPr>
        <w:pStyle w:val="Normal"/>
        <w:spacing w:lineRule="auto" w:line="480"/>
        <w:ind w:firstLine="720" w:end="0"/>
        <w:rPr/>
      </w:pPr>
      <w:r>
        <w:rPr/>
        <w:t xml:space="preserve">New England ISO manages a Day-Ahead Energy Market and four ancillary services markets.  Since the markets have been in operation only since May 1999, we have only one fiscal year to report; that is, we have data for FY00/99.  Also, rather than using price caps </w:t>
      </w:r>
      <w:r>
        <w:rPr>
          <w:i/>
        </w:rPr>
        <w:t>per se</w:t>
      </w:r>
      <w:r>
        <w:rPr/>
        <w:t>, the New England ISO has adjusted prices in certain markets with price revisions.</w:t>
      </w:r>
    </w:p>
    <w:p>
      <w:pPr>
        <w:pStyle w:val="Normal"/>
        <w:spacing w:lineRule="auto" w:line="480"/>
        <w:rPr/>
      </w:pPr>
      <w:r>
        <w:rPr/>
      </w:r>
    </w:p>
    <w:p>
      <w:pPr>
        <w:pStyle w:val="Normal"/>
        <w:spacing w:lineRule="auto" w:line="480"/>
        <w:ind w:firstLine="720" w:end="0"/>
        <w:rPr/>
      </w:pPr>
      <w:r>
        <w:rPr/>
        <w:t>During FY00/99 in the Day-Ahead Energy Market, prices equaled or exceeded $100/MWH in only 44 hours of about 0.5% of the time.  Prices equaled or exceeded $250/MWH in only 9 hours, $500/MWH in 6 hours, $750/MWH in 5 hours, and $1,000/MWH in 5 hours.  These data are displayed in Table A27.</w:t>
      </w:r>
    </w:p>
    <w:p>
      <w:pPr>
        <w:pStyle w:val="Normal"/>
        <w:spacing w:lineRule="auto" w:line="480"/>
        <w:rPr/>
      </w:pPr>
      <w:r>
        <w:rPr/>
      </w:r>
    </w:p>
    <w:p>
      <w:pPr>
        <w:pStyle w:val="Normal"/>
        <w:spacing w:lineRule="auto" w:line="480"/>
        <w:ind w:firstLine="720" w:end="0"/>
        <w:rPr/>
      </w:pPr>
      <w:r>
        <w:rPr/>
        <w:t>While we do not have a second, full fiscal year to compare to FY00/99, we do have two summer months in 1999 and 2000 to compare as seen in Table A28.  As noted, in all of FY00/99, there were only 44 hours in which the price equaled or exceeded $100.  In just two summer months in 1999, prices equaled or exceeded the $100 threshold in 74 hours; in June and July of 2000, prices exceeded $100 in only 7 hours.  As in PJM, this gives some indication that price spikes were a bigger problem in the past fiscal year than in the current fiscal year.</w:t>
      </w:r>
    </w:p>
    <w:p>
      <w:pPr>
        <w:pStyle w:val="Normal"/>
        <w:spacing w:lineRule="auto" w:line="480"/>
        <w:rPr/>
      </w:pPr>
      <w:r>
        <w:rPr/>
      </w:r>
    </w:p>
    <w:p>
      <w:pPr>
        <w:pStyle w:val="Normal"/>
        <w:spacing w:lineRule="auto" w:line="480"/>
        <w:ind w:firstLine="720" w:end="0"/>
        <w:rPr/>
      </w:pPr>
      <w:r>
        <w:rPr/>
        <w:t>As to cost impact, Table A29 presents the results.  Again, we do not have a second, full fiscal year to compare to FY00/99, but we do have two summer months (June and July) of 1999 and 2000.  Let us look at the 100% Load Factor Customer in each of these months.</w:t>
      </w:r>
    </w:p>
    <w:p>
      <w:pPr>
        <w:pStyle w:val="Normal"/>
        <w:spacing w:lineRule="auto" w:line="480"/>
        <w:rPr/>
      </w:pPr>
      <w:r>
        <w:rPr/>
      </w:r>
    </w:p>
    <w:p>
      <w:pPr>
        <w:pStyle w:val="Normal"/>
        <w:numPr>
          <w:ilvl w:val="0"/>
          <w:numId w:val="5"/>
        </w:numPr>
        <w:spacing w:lineRule="auto" w:line="480"/>
        <w:rPr/>
      </w:pPr>
      <w:r>
        <w:rPr/>
        <w:t>In June 1999, this customer would have paid a monthly bill of $35,408 or an average of $49.18/MWH.  In June of 2000, the bill for this customer would have declined to $27,939 or an average of $38.80/MWH.  This is a drop of 21% in the average price.</w:t>
      </w:r>
    </w:p>
    <w:p>
      <w:pPr>
        <w:pStyle w:val="Normal"/>
        <w:numPr>
          <w:ilvl w:val="0"/>
          <w:numId w:val="5"/>
        </w:numPr>
        <w:spacing w:lineRule="auto" w:line="480"/>
        <w:rPr/>
      </w:pPr>
      <w:r>
        <w:rPr/>
        <w:t>For the 100% Load Factor Customer in July 1999, the monthly bill would have been $30,611 or an average of $41.14/MWH.  In July 2000, the monthly bill would have declined to $27,634 or an average of $37.14/MWH.  This is a drop of 10% in the average price.</w:t>
      </w:r>
    </w:p>
    <w:p>
      <w:pPr>
        <w:pStyle w:val="Normal"/>
        <w:spacing w:lineRule="auto" w:line="480"/>
        <w:rPr/>
      </w:pPr>
      <w:r>
        <w:rPr/>
      </w:r>
    </w:p>
    <w:p>
      <w:pPr>
        <w:pStyle w:val="Normal"/>
        <w:spacing w:lineRule="auto" w:line="480"/>
        <w:ind w:firstLine="720" w:end="0"/>
        <w:rPr/>
      </w:pPr>
      <w:r>
        <w:rPr/>
        <w:t>Again, while no one is proposing a $250/MWH cap, we calculated the cost impact of imposing such a cap.  In FY00/99, had that cap been in place, the 100% Load Factor Customer would have had an 8.76% lower monthly bill.  The effect is larger than one might expect because there were four hours in which the price reached $6,000 and one additional hour that reached $2,871.</w:t>
      </w:r>
    </w:p>
    <w:p>
      <w:pPr>
        <w:pStyle w:val="Normal"/>
        <w:spacing w:lineRule="auto" w:line="480"/>
        <w:rPr/>
      </w:pPr>
      <w:r>
        <w:rPr/>
      </w:r>
    </w:p>
    <w:p>
      <w:pPr>
        <w:pStyle w:val="Footer"/>
        <w:tabs>
          <w:tab w:val="clear" w:pos="4320"/>
          <w:tab w:val="clear" w:pos="8640"/>
        </w:tabs>
        <w:spacing w:lineRule="auto" w:line="480"/>
        <w:rPr/>
      </w:pPr>
      <w:r>
        <w:rPr/>
        <w:tab/>
        <w:t>The four ISO New England ancillary services are (a) Ten Minute Non-Spinning Reserve (TMNSR), (b) Ten Minute Operating Reserve (TMOR), (c) Ten Minute Spinning Reserve (TMSR), and (d) Automatic Generation Control (AGC).  Results for only the first three are discussed because prices never exceeded $100 for the fourth.</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Note that ISO New England revises prices for several reasons.  However, for the moment, we were targeting the revisions tied to price caps.  For this reason, when we say below that prices are “before revisions,” we mean we restored any price for Ancillary Services that was said to be capped at the energy market price.</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A30 shows TMNSR prices equaled or exceeded $100 in  50 hours or 0.6% of the time.  Revisions cut this to 47 times as seen in Table A31.  TMNSR prices equaled or exceeded $250 in  25 hours.  Revisions changed this to 18 hours.</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pPr>
      <w:r>
        <w:rPr/>
        <w:t>Table A32 shows the number of spikes fell this summer.  Comparing TMNSR prices in summer months shows prices in June, July, and August of 1999 equaled or exceeded $100 in 86 hours as compared to 4  times during these months in 2000.  Table A33 shows revisions changed this to 70 and 3.</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Before revisions, Table A34 shows TMOR prices equaled or exceeded $100 in 19 hours or 0.2% of the time.  Table A35 shows that revisions reduced this to 17 hours.  Table A36 shows the number of price spikes fell this summer.  In June, July, and August 1999, TMOR prices equaled or exceeded $100 in 62 hours as compared to 4 hours these months in 2000.  Table A37 shows revisions lowered this to 47 and 3.</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TMSR prices, as shown in Table A38, equaled or exceeded $100 in 21 hours or 0.2% of the time.  Revisions lowered this to 9 hours as shown in Table A39.  Table A40 shows that TMSR prices equaled or exceeded $100 in fewer hours in the summer of 2000 than in the summer of 1999.  In June, July, and August 1999, prices equaled or exceeded $100 in 59 hours as compared to 1 hour in summer 2000.  Revisions lowered this to 40 and 1 as seen in Table A41.</w:t>
      </w:r>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776" w:footer="576" w:bottom="1440"/>
          <w:pgNumType w:fmt="decimal"/>
          <w:formProt w:val="false"/>
          <w:textDirection w:val="lrTb"/>
          <w:docGrid w:type="default" w:linePitch="360" w:charSpace="0"/>
        </w:sectPr>
        <w:pStyle w:val="Normal"/>
        <w:spacing w:lineRule="auto" w:line="480"/>
        <w:rPr/>
      </w:pPr>
      <w:r>
        <w:rPr/>
      </w:r>
    </w:p>
    <w:p>
      <w:pPr>
        <w:pStyle w:val="Normal"/>
        <w:spacing w:lineRule="auto" w:line="480"/>
        <w:ind w:start="360" w:end="0"/>
        <w:jc w:val="center"/>
        <w:rPr>
          <w:b/>
        </w:rPr>
      </w:pPr>
      <w:r>
        <w:rPr>
          <w:b/>
        </w:rPr>
        <w:t>III.</w:t>
        <w:tab/>
        <w:t xml:space="preserve">  PRICE LEVELS NEEDED TO JUSTIFY NEW ENTRY</w:t>
      </w:r>
    </w:p>
    <w:p>
      <w:pPr>
        <w:pStyle w:val="Normal"/>
        <w:spacing w:lineRule="auto" w:line="480"/>
        <w:ind w:start="360" w:end="0"/>
        <w:jc w:val="center"/>
        <w:rPr>
          <w:b/>
        </w:rPr>
      </w:pPr>
      <w:r>
        <mc:AlternateContent>
          <mc:Choice Requires="wps">
            <w:drawing>
              <wp:anchor behindDoc="0" distT="0" distB="0" distL="114935" distR="114935" simplePos="0" locked="0" layoutInCell="1" allowOverlap="1" relativeHeight="6">
                <wp:simplePos x="0" y="0"/>
                <wp:positionH relativeFrom="column">
                  <wp:posOffset>51435</wp:posOffset>
                </wp:positionH>
                <wp:positionV relativeFrom="paragraph">
                  <wp:posOffset>322580</wp:posOffset>
                </wp:positionV>
                <wp:extent cx="5715000" cy="0"/>
                <wp:effectExtent l="0" t="14605" r="0" b="14605"/>
                <wp:wrapNone/>
                <wp:docPr id="5"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25.4pt" to="454pt,25.4pt" stroked="t" o:allowincell="f" style="position:absolute">
                <v:stroke color="black" weight="28440" joinstyle="miter" endcap="flat"/>
                <v:fill o:detectmouseclick="t" on="false"/>
                <w10:wrap type="none"/>
              </v:line>
            </w:pict>
          </mc:Fallback>
        </mc:AlternateContent>
      </w:r>
      <w:r>
        <w:rPr>
          <w:b/>
        </w:rPr>
        <w:t>TO UNDERCUT PRICE SPIKES</w:t>
      </w:r>
    </w:p>
    <w:p>
      <w:pPr>
        <w:pStyle w:val="Footer"/>
        <w:tabs>
          <w:tab w:val="clear" w:pos="4320"/>
          <w:tab w:val="clear" w:pos="8640"/>
        </w:tabs>
        <w:spacing w:lineRule="auto" w:line="480"/>
        <w:rPr/>
      </w:pPr>
      <w:r>
        <w:rPr/>
      </w:r>
    </w:p>
    <w:p>
      <w:pPr>
        <w:pStyle w:val="Normal"/>
        <w:spacing w:lineRule="auto" w:line="480"/>
        <w:ind w:firstLine="720" w:end="0"/>
        <w:rPr/>
      </w:pPr>
      <w:r>
        <w:rPr/>
        <w:t>In any market that needs new production capability, prices must rise to a level sufficient to justify new investment.  If prices fail to reach this level, there simply will not be sufficient supply for all customers to be served.  This obviously is true in the electricity business, too.  Indeed, the consequences of insufficient investment in the electricity business can go well beyond a few new customers not getting what they need.  Because of the instantaneous need to match quantity supplied and demanded, insufficient investment in new power plants can sometimes mean brownouts or blackouts for a wide spectrum of customers.  New investment in power plants (as well as in new transmission facilities) is crucial to maintaining the reliability of electricity service in the U.S.</w:t>
      </w:r>
    </w:p>
    <w:p>
      <w:pPr>
        <w:pStyle w:val="Normal"/>
        <w:spacing w:lineRule="auto" w:line="480"/>
        <w:rPr/>
      </w:pPr>
      <w:r>
        <w:rPr/>
      </w:r>
    </w:p>
    <w:p>
      <w:pPr>
        <w:pStyle w:val="Normal"/>
        <w:spacing w:lineRule="auto" w:line="480"/>
        <w:ind w:firstLine="720" w:end="0"/>
        <w:rPr/>
      </w:pPr>
      <w:r>
        <w:rPr/>
        <w:t>New investment or what economists term “new entry” is also crucial to achieving a fully competitive market for electricity.  New entry is what keeps prices competitive.  If prices rise to a level not supported by cost, then a new entrant can enter the market and undercut that price.  In this sense, new entry is the remedy for price spikes.  That is, if these prices are truly out of line, then a competitor should be in a position to enter the market and undermine these high prices.</w:t>
      </w:r>
    </w:p>
    <w:p>
      <w:pPr>
        <w:pStyle w:val="Normal"/>
        <w:spacing w:lineRule="auto" w:line="480"/>
        <w:rPr/>
      </w:pPr>
      <w:r>
        <w:rPr/>
      </w:r>
    </w:p>
    <w:p>
      <w:pPr>
        <w:pStyle w:val="Normal"/>
        <w:spacing w:lineRule="auto" w:line="480"/>
        <w:ind w:firstLine="720" w:end="0"/>
        <w:rPr/>
      </w:pPr>
      <w:r>
        <w:rPr/>
        <w:t>While the issue of how much and what type of new power plant investment is needed can be viewed from several perspectives and can require complicated analysis, one useful perspective is simply to look at what kind of new entry might be in a position to compete away price spikes.  Let us start by recalling that, even if one were to set $100/MWH as the threshold for a spike, these price spikes occur well within the range of 1% to 10% of the time.  Given the limited duration of such spikes, it seems clear that the type of new entry needed to take these spikes head-on would be a new peaking plant.  The most likely technology to be used would be a gas-fired combustion turbine operated in simple cycle.  For our purposes then it is useful to ask what level of prices is needed to justify investment in a new combustion turbine power.  To determine what price levels are needed, we have to estimate what it costs to build and to operate such a plant.</w:t>
      </w:r>
    </w:p>
    <w:p>
      <w:pPr>
        <w:pStyle w:val="Normal"/>
        <w:spacing w:lineRule="auto" w:line="480"/>
        <w:ind w:hanging="720" w:start="720" w:end="0"/>
        <w:rPr/>
      </w:pPr>
      <w:r>
        <w:rPr/>
      </w:r>
    </w:p>
    <w:p>
      <w:pPr>
        <w:pStyle w:val="Normal"/>
        <w:spacing w:lineRule="auto" w:line="480"/>
        <w:ind w:firstLine="720" w:end="0"/>
        <w:rPr/>
      </w:pPr>
      <w:r>
        <w:rPr/>
        <w:t>Appendix 1 contains a simplified cash flow model we used in previous expert testimony to estimate the annual fixed cost of a new, generic peaking power plant.  The result of that model is that the annual charge to cover capital-related cost is estimated to be $48.43/kw-year in each year over a fifteen-year period.  The annual fixed operation and maintenance cost is estimated to be an additional $9.47/kw-year.  This means that, to justify investment in a new peaking plant, an investor must earn a total of $57.89 each year for each kilowatt of capacity just to cover fixed costs.</w:t>
      </w:r>
    </w:p>
    <w:p>
      <w:pPr>
        <w:pStyle w:val="Normal"/>
        <w:spacing w:lineRule="auto" w:line="480"/>
        <w:ind w:hanging="720" w:start="720" w:end="0"/>
        <w:rPr/>
      </w:pPr>
      <w:r>
        <w:rPr/>
      </w:r>
    </w:p>
    <w:p>
      <w:pPr>
        <w:pStyle w:val="Normal"/>
        <w:spacing w:lineRule="auto" w:line="480"/>
        <w:ind w:firstLine="720" w:end="0"/>
        <w:rPr/>
      </w:pPr>
      <w:r>
        <w:rPr/>
        <w:t xml:space="preserve">With respect to the question of how often the plant will run, rather than go through an elaborate modeling of bidding and dispatching, we will simply assume the plant would be run 1%, 2%, 5% or 10% of the hours in a year.  Again, this is consistent with the information above that shows this range covers the numbers of hours in which price spikes above any threshold are seen. </w:t>
      </w:r>
    </w:p>
    <w:p>
      <w:pPr>
        <w:pStyle w:val="Normal"/>
        <w:spacing w:lineRule="auto" w:line="480"/>
        <w:ind w:hanging="720" w:start="720" w:end="0"/>
        <w:rPr/>
      </w:pPr>
      <w:r>
        <w:rPr/>
      </w:r>
    </w:p>
    <w:p>
      <w:pPr>
        <w:pStyle w:val="Normal"/>
        <w:spacing w:lineRule="auto" w:line="480"/>
        <w:ind w:firstLine="720" w:end="0"/>
        <w:rPr/>
      </w:pPr>
      <w:r>
        <w:rPr/>
        <w:t>Table One below displays the price levels needed to cover just the fixed cost of a new power plant at the four assumed levels of operation.  For example, if a peaking plant is expected to run just 1% of the time it will run in 87.6 hours per year.  To cover fixed cost it must earn enough revenue in those 87.6 hours to accumulate the $57.89 needed per kw of capacity.  Dividing $57.89 by 87.6 shows that, just to cover fixed cost, the peaking plant would need about 66.1¢/kwh.  Converting this to dollars per megawatt hour we see that an average price of $661/MWH would have to paid just to cover the annual fixed cost of a new peaking plant expected to run only 1% of the time.  If the plant expects to run 10% of the time, the price required to cover the fixed cost of a new peaking plant falls to $66/MWH.</w:t>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r>
    </w:p>
    <w:p>
      <w:pPr>
        <w:pStyle w:val="Footer"/>
        <w:tabs>
          <w:tab w:val="clear" w:pos="4320"/>
          <w:tab w:val="clear" w:pos="8640"/>
        </w:tabs>
        <w:jc w:val="center"/>
        <w:rPr>
          <w:b/>
        </w:rPr>
      </w:pPr>
      <w:r>
        <w:rPr>
          <w:b/>
        </w:rPr>
        <w:t>Table One</w:t>
      </w:r>
    </w:p>
    <w:p>
      <w:pPr>
        <w:pStyle w:val="Footer"/>
        <w:tabs>
          <w:tab w:val="clear" w:pos="4320"/>
          <w:tab w:val="clear" w:pos="8640"/>
        </w:tabs>
        <w:jc w:val="center"/>
        <w:rPr>
          <w:b/>
        </w:rPr>
      </w:pPr>
      <w:r>
        <w:rPr>
          <w:b/>
        </w:rPr>
      </w:r>
    </w:p>
    <w:p>
      <w:pPr>
        <w:pStyle w:val="Footer"/>
        <w:tabs>
          <w:tab w:val="clear" w:pos="4320"/>
          <w:tab w:val="clear" w:pos="8640"/>
        </w:tabs>
        <w:jc w:val="center"/>
        <w:rPr/>
      </w:pPr>
      <w:r>
        <w:rPr/>
        <w:t>REQUIRED HOURLY PRICES TO COVER THE FIXED COSTS</w:t>
      </w:r>
    </w:p>
    <w:p>
      <w:pPr>
        <w:pStyle w:val="Footer"/>
        <w:tabs>
          <w:tab w:val="clear" w:pos="4320"/>
          <w:tab w:val="clear" w:pos="8640"/>
        </w:tabs>
        <w:jc w:val="center"/>
        <w:rPr/>
      </w:pPr>
      <w:r>
        <w:rPr/>
        <w:t>OF NEW INVESTMENT IN PEAKING PLANTS</w:t>
      </w:r>
    </w:p>
    <w:p>
      <w:pPr>
        <w:pStyle w:val="Footer"/>
        <w:tabs>
          <w:tab w:val="clear" w:pos="4320"/>
          <w:tab w:val="clear" w:pos="8640"/>
        </w:tabs>
        <w:jc w:val="center"/>
        <w:rPr/>
      </w:pPr>
      <w:r>
        <w:rPr/>
      </w:r>
    </w:p>
    <w:tbl>
      <w:tblPr>
        <w:tblW w:w="6132" w:type="dxa"/>
        <w:jc w:val="center"/>
        <w:tblInd w:w="0" w:type="dxa"/>
        <w:tblLayout w:type="fixed"/>
        <w:tblCellMar>
          <w:top w:w="0" w:type="dxa"/>
          <w:start w:w="108" w:type="dxa"/>
          <w:bottom w:w="0" w:type="dxa"/>
          <w:end w:w="108" w:type="dxa"/>
        </w:tblCellMar>
      </w:tblPr>
      <w:tblGrid>
        <w:gridCol w:w="1600"/>
        <w:gridCol w:w="1382"/>
        <w:gridCol w:w="3150"/>
      </w:tblGrid>
      <w:tr>
        <w:trPr/>
        <w:tc>
          <w:tcPr>
            <w:tcW w:w="1600" w:type="dxa"/>
            <w:tcBorders>
              <w:top w:val="double" w:sz="4" w:space="0" w:color="000000"/>
              <w:start w:val="double" w:sz="4" w:space="0" w:color="000000"/>
              <w:bottom w:val="doub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 xml:space="preserve">% of Hours </w:t>
            </w:r>
          </w:p>
        </w:tc>
        <w:tc>
          <w:tcPr>
            <w:tcW w:w="1382" w:type="dxa"/>
            <w:tcBorders>
              <w:top w:val="doub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Number of Hours</w:t>
            </w:r>
          </w:p>
        </w:tc>
        <w:tc>
          <w:tcPr>
            <w:tcW w:w="3150" w:type="dxa"/>
            <w:tcBorders>
              <w:top w:val="double" w:sz="4" w:space="0" w:color="000000"/>
              <w:start w:val="single" w:sz="4" w:space="0" w:color="000000"/>
              <w:bottom w:val="double" w:sz="4" w:space="0" w:color="000000"/>
              <w:end w:val="double" w:sz="4" w:space="0" w:color="000000"/>
            </w:tcBorders>
          </w:tcPr>
          <w:p>
            <w:pPr>
              <w:pStyle w:val="Footer"/>
              <w:tabs>
                <w:tab w:val="clear" w:pos="4320"/>
                <w:tab w:val="clear" w:pos="8640"/>
              </w:tabs>
              <w:rPr/>
            </w:pPr>
            <w:r>
              <w:rPr/>
              <w:t>Required Average Hourly Price to Cover Fixed Costs</w:t>
            </w:r>
          </w:p>
        </w:tc>
      </w:tr>
      <w:tr>
        <w:trPr/>
        <w:tc>
          <w:tcPr>
            <w:tcW w:w="1600"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1%</w:t>
            </w:r>
          </w:p>
        </w:tc>
        <w:tc>
          <w:tcPr>
            <w:tcW w:w="1382"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rPr/>
            </w:pPr>
            <w:r>
              <w:rPr>
                <w:rFonts w:eastAsia="CG Times"/>
              </w:rPr>
              <w:t xml:space="preserve">      </w:t>
            </w:r>
            <w:r>
              <w:rPr/>
              <w:t>87.6</w:t>
            </w:r>
          </w:p>
        </w:tc>
        <w:tc>
          <w:tcPr>
            <w:tcW w:w="3150"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$661/MWH</w:t>
            </w:r>
          </w:p>
        </w:tc>
      </w:tr>
      <w:tr>
        <w:trPr/>
        <w:tc>
          <w:tcPr>
            <w:tcW w:w="160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2%</w:t>
            </w:r>
          </w:p>
        </w:tc>
        <w:tc>
          <w:tcPr>
            <w:tcW w:w="138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175.2</w:t>
            </w:r>
          </w:p>
        </w:tc>
        <w:tc>
          <w:tcPr>
            <w:tcW w:w="315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$330/MWH</w:t>
            </w:r>
          </w:p>
        </w:tc>
      </w:tr>
      <w:tr>
        <w:trPr/>
        <w:tc>
          <w:tcPr>
            <w:tcW w:w="1600"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138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438.0</w:t>
            </w:r>
          </w:p>
        </w:tc>
        <w:tc>
          <w:tcPr>
            <w:tcW w:w="315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$132/MWH</w:t>
            </w:r>
          </w:p>
        </w:tc>
      </w:tr>
      <w:tr>
        <w:trPr/>
        <w:tc>
          <w:tcPr>
            <w:tcW w:w="1600"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pPr>
            <w:r>
              <w:rPr>
                <w:rFonts w:eastAsia="CG Times"/>
              </w:rPr>
              <w:t xml:space="preserve">      </w:t>
            </w:r>
            <w:r>
              <w:rPr/>
              <w:t>10%</w:t>
            </w:r>
          </w:p>
        </w:tc>
        <w:tc>
          <w:tcPr>
            <w:tcW w:w="138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876.0</w:t>
            </w:r>
          </w:p>
        </w:tc>
        <w:tc>
          <w:tcPr>
            <w:tcW w:w="315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rPr/>
            </w:pPr>
            <w:r>
              <w:rPr>
                <w:rFonts w:eastAsia="CG Times"/>
              </w:rPr>
              <w:t xml:space="preserve">              </w:t>
            </w:r>
            <w:r>
              <w:rPr/>
              <w:t>$66/MWH</w:t>
            </w:r>
          </w:p>
        </w:tc>
      </w:tr>
    </w:tbl>
    <w:p>
      <w:pPr>
        <w:pStyle w:val="Footer"/>
        <w:tabs>
          <w:tab w:val="clear" w:pos="4320"/>
          <w:tab w:val="clear" w:pos="8640"/>
        </w:tabs>
        <w:jc w:val="center"/>
        <w:rPr/>
      </w:pPr>
      <w:r>
        <w:rPr/>
      </w:r>
    </w:p>
    <w:p>
      <w:pPr>
        <w:pStyle w:val="Footer"/>
        <w:tabs>
          <w:tab w:val="clear" w:pos="4320"/>
          <w:tab w:val="clear" w:pos="8640"/>
        </w:tabs>
        <w:spacing w:lineRule="auto" w:line="480"/>
        <w:rPr/>
      </w:pPr>
      <w:r>
        <w:rPr/>
      </w:r>
    </w:p>
    <w:p>
      <w:pPr>
        <w:pStyle w:val="Normal"/>
        <w:spacing w:lineRule="auto" w:line="480"/>
        <w:ind w:firstLine="720" w:end="0"/>
        <w:rPr/>
      </w:pPr>
      <w:r>
        <w:rPr/>
        <w:t xml:space="preserve">Table Two below is one way to begin to assess if the prices in the California PX Day-Ahead Market have been high enough to justify new investment in peaking plants. Here we add a rough estimate of fuel costs to the fixed cost for a peaking plant.  For fuel cost, we used the average price of gas delivered to utilities in the months of June and July 2000 as reported in </w:t>
      </w:r>
      <w:r>
        <w:rPr>
          <w:i/>
        </w:rPr>
        <w:t>Natural Gas Week</w:t>
      </w:r>
      <w:r>
        <w:rPr/>
        <w:t>.   Reflecting this year’s run up in prices, this average was $4.64/MMBtu. Assuming a heat rate of 11,000 Btu/kwh and combining this with the average fuel price, leads to a fuel cost of about $51/MWH.</w:t>
      </w:r>
    </w:p>
    <w:p>
      <w:pPr>
        <w:pStyle w:val="Footer"/>
        <w:tabs>
          <w:tab w:val="clear" w:pos="4320"/>
          <w:tab w:val="clear" w:pos="8640"/>
        </w:tabs>
        <w:spacing w:lineRule="auto" w:line="480"/>
        <w:rPr/>
      </w:pPr>
      <w:r>
        <w:rPr/>
      </w:r>
    </w:p>
    <w:p>
      <w:pPr>
        <w:pStyle w:val="Footer"/>
        <w:tabs>
          <w:tab w:val="clear" w:pos="4320"/>
          <w:tab w:val="clear" w:pos="8640"/>
        </w:tabs>
        <w:jc w:val="center"/>
        <w:rPr>
          <w:b/>
        </w:rPr>
      </w:pPr>
      <w:r>
        <w:rPr>
          <w:b/>
        </w:rPr>
        <w:t>Table Two</w:t>
      </w:r>
    </w:p>
    <w:p>
      <w:pPr>
        <w:pStyle w:val="Footer"/>
        <w:tabs>
          <w:tab w:val="clear" w:pos="4320"/>
          <w:tab w:val="clear" w:pos="8640"/>
        </w:tabs>
        <w:jc w:val="center"/>
        <w:rPr>
          <w:b/>
        </w:rPr>
      </w:pPr>
      <w:r>
        <w:rPr>
          <w:b/>
        </w:rPr>
      </w:r>
    </w:p>
    <w:p>
      <w:pPr>
        <w:pStyle w:val="Footer"/>
        <w:tabs>
          <w:tab w:val="clear" w:pos="4320"/>
          <w:tab w:val="clear" w:pos="8640"/>
        </w:tabs>
        <w:jc w:val="center"/>
        <w:rPr/>
      </w:pPr>
      <w:r>
        <w:rPr/>
        <w:t>COMPARISON OF REQUIRED AND ACTUAL PRICES IN CALIFORNIA</w:t>
      </w:r>
    </w:p>
    <w:p>
      <w:pPr>
        <w:pStyle w:val="Footer"/>
        <w:tabs>
          <w:tab w:val="clear" w:pos="4320"/>
          <w:tab w:val="clear" w:pos="8640"/>
        </w:tabs>
        <w:rPr/>
      </w:pPr>
      <w:r>
        <w:rPr/>
      </w:r>
    </w:p>
    <w:tbl>
      <w:tblPr>
        <w:tblW w:w="9288" w:type="dxa"/>
        <w:jc w:val="start"/>
        <w:tblInd w:w="0" w:type="dxa"/>
        <w:tblLayout w:type="fixed"/>
        <w:tblCellMar>
          <w:top w:w="0" w:type="dxa"/>
          <w:start w:w="108" w:type="dxa"/>
          <w:bottom w:w="0" w:type="dxa"/>
          <w:end w:w="108" w:type="dxa"/>
        </w:tblCellMar>
      </w:tblPr>
      <w:tblGrid>
        <w:gridCol w:w="1476"/>
        <w:gridCol w:w="1692"/>
        <w:gridCol w:w="1476"/>
        <w:gridCol w:w="1476"/>
        <w:gridCol w:w="1548"/>
        <w:gridCol w:w="1620"/>
      </w:tblGrid>
      <w:tr>
        <w:trPr/>
        <w:tc>
          <w:tcPr>
            <w:tcW w:w="1476" w:type="dxa"/>
            <w:tcBorders>
              <w:top w:val="double" w:sz="4" w:space="0" w:color="000000"/>
              <w:start w:val="double" w:sz="4" w:space="0" w:color="000000"/>
              <w:end w:val="single" w:sz="4" w:space="0" w:color="000000"/>
            </w:tcBorders>
          </w:tcPr>
          <w:p>
            <w:pPr>
              <w:pStyle w:val="Footer"/>
              <w:tabs>
                <w:tab w:val="clear" w:pos="4320"/>
                <w:tab w:val="clear" w:pos="8640"/>
              </w:tabs>
              <w:snapToGrid w:val="false"/>
              <w:jc w:val="center"/>
              <w:rPr/>
            </w:pPr>
            <w:r>
              <w:rPr/>
            </w:r>
          </w:p>
        </w:tc>
        <w:tc>
          <w:tcPr>
            <w:tcW w:w="4644" w:type="dxa"/>
            <w:gridSpan w:val="3"/>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Required Average Price to Cover ($/MWH)</w:t>
            </w:r>
          </w:p>
        </w:tc>
        <w:tc>
          <w:tcPr>
            <w:tcW w:w="3168" w:type="dxa"/>
            <w:gridSpan w:val="2"/>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Actual Average CAL-PX Day-Ahead Market ($/MWH)</w:t>
            </w:r>
          </w:p>
        </w:tc>
      </w:tr>
      <w:tr>
        <w:trPr/>
        <w:tc>
          <w:tcPr>
            <w:tcW w:w="1476" w:type="dxa"/>
            <w:tcBorders>
              <w:start w:val="double" w:sz="4" w:space="0" w:color="000000"/>
              <w:bottom w:val="double" w:sz="4" w:space="0" w:color="000000"/>
              <w:end w:val="single" w:sz="4" w:space="0" w:color="000000"/>
            </w:tcBorders>
          </w:tcPr>
          <w:p>
            <w:pPr>
              <w:pStyle w:val="Footer"/>
              <w:tabs>
                <w:tab w:val="clear" w:pos="4320"/>
                <w:tab w:val="clear" w:pos="8640"/>
              </w:tabs>
              <w:jc w:val="center"/>
              <w:rPr/>
            </w:pPr>
            <w:r>
              <w:rPr/>
              <w:t>Percent of Time Run</w:t>
            </w:r>
          </w:p>
        </w:tc>
        <w:tc>
          <w:tcPr>
            <w:tcW w:w="169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Fixed Cost</w:t>
            </w:r>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Fuel Cost</w:t>
            </w:r>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Total Cost</w:t>
            </w:r>
          </w:p>
        </w:tc>
        <w:tc>
          <w:tcPr>
            <w:tcW w:w="1548"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FY00/99</w:t>
            </w:r>
          </w:p>
        </w:tc>
        <w:tc>
          <w:tcPr>
            <w:tcW w:w="162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snapToGrid w:val="false"/>
              <w:jc w:val="center"/>
              <w:rPr/>
            </w:pPr>
            <w:r>
              <w:rPr/>
            </w:r>
          </w:p>
          <w:p>
            <w:pPr>
              <w:pStyle w:val="Footer"/>
              <w:tabs>
                <w:tab w:val="clear" w:pos="4320"/>
                <w:tab w:val="clear" w:pos="8640"/>
              </w:tabs>
              <w:jc w:val="center"/>
              <w:rPr/>
            </w:pPr>
            <w:r>
              <w:rPr/>
              <w:t>FY99/98</w:t>
            </w:r>
          </w:p>
        </w:tc>
      </w:tr>
      <w:tr>
        <w:trPr/>
        <w:tc>
          <w:tcPr>
            <w:tcW w:w="1476" w:type="dxa"/>
            <w:tcBorders>
              <w:top w:val="doub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1%</w:t>
            </w:r>
          </w:p>
        </w:tc>
        <w:tc>
          <w:tcPr>
            <w:tcW w:w="1692"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$661</w:t>
            </w:r>
          </w:p>
        </w:tc>
        <w:tc>
          <w:tcPr>
            <w:tcW w:w="1476"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$51</w:t>
            </w:r>
          </w:p>
        </w:tc>
        <w:tc>
          <w:tcPr>
            <w:tcW w:w="1476"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$712</w:t>
            </w:r>
          </w:p>
        </w:tc>
        <w:tc>
          <w:tcPr>
            <w:tcW w:w="1548" w:type="dxa"/>
            <w:tcBorders>
              <w:top w:val="doub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$557</w:t>
            </w:r>
          </w:p>
        </w:tc>
        <w:tc>
          <w:tcPr>
            <w:tcW w:w="1620" w:type="dxa"/>
            <w:tcBorders>
              <w:top w:val="doub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$147</w:t>
            </w:r>
          </w:p>
        </w:tc>
      </w:tr>
      <w:tr>
        <w:trPr/>
        <w:tc>
          <w:tcPr>
            <w:tcW w:w="1476"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2%</w:t>
            </w:r>
          </w:p>
        </w:tc>
        <w:tc>
          <w:tcPr>
            <w:tcW w:w="169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$330</w:t>
            </w:r>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$51</w:t>
            </w:r>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$381</w:t>
            </w:r>
          </w:p>
        </w:tc>
        <w:tc>
          <w:tcPr>
            <w:tcW w:w="154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$452</w:t>
            </w:r>
          </w:p>
        </w:tc>
        <w:tc>
          <w:tcPr>
            <w:tcW w:w="162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jc w:val="center"/>
              <w:rPr/>
            </w:pPr>
            <w:r>
              <w:rPr/>
              <w:t>$118</w:t>
            </w:r>
          </w:p>
        </w:tc>
      </w:tr>
      <w:tr>
        <w:trPr/>
        <w:tc>
          <w:tcPr>
            <w:tcW w:w="1476" w:type="dxa"/>
            <w:tcBorders>
              <w:top w:val="single" w:sz="4" w:space="0" w:color="000000"/>
              <w:start w:val="double" w:sz="4" w:space="0" w:color="000000"/>
              <w:bottom w:val="single" w:sz="4" w:space="0" w:color="000000"/>
              <w:end w:val="single" w:sz="4" w:space="0" w:color="000000"/>
            </w:tcBorders>
          </w:tcPr>
          <w:p>
            <w:pPr>
              <w:pStyle w:val="Footer"/>
              <w:tabs>
                <w:tab w:val="clear" w:pos="4320"/>
                <w:tab w:val="clear" w:pos="8640"/>
              </w:tabs>
              <w:jc w:val="center"/>
              <w:rPr/>
            </w:pPr>
            <w:r>
              <w:rPr/>
              <w:t>5%</w:t>
            </w:r>
          </w:p>
        </w:tc>
        <w:tc>
          <w:tcPr>
            <w:tcW w:w="1692"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$132</w:t>
            </w:r>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$51</w:t>
            </w:r>
          </w:p>
        </w:tc>
        <w:tc>
          <w:tcPr>
            <w:tcW w:w="147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$183</w:t>
            </w:r>
          </w:p>
        </w:tc>
        <w:tc>
          <w:tcPr>
            <w:tcW w:w="154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jc w:val="center"/>
              <w:rPr/>
            </w:pPr>
            <w:r>
              <w:rPr/>
              <w:t>$269</w:t>
            </w:r>
          </w:p>
        </w:tc>
        <w:tc>
          <w:tcPr>
            <w:tcW w:w="1620" w:type="dxa"/>
            <w:tcBorders>
              <w:top w:val="single" w:sz="4" w:space="0" w:color="000000"/>
              <w:start w:val="single" w:sz="4" w:space="0" w:color="000000"/>
              <w:bottom w:val="single" w:sz="4" w:space="0" w:color="000000"/>
              <w:end w:val="double" w:sz="4" w:space="0" w:color="000000"/>
            </w:tcBorders>
          </w:tcPr>
          <w:p>
            <w:pPr>
              <w:pStyle w:val="Footer"/>
              <w:tabs>
                <w:tab w:val="clear" w:pos="4320"/>
                <w:tab w:val="clear" w:pos="8640"/>
              </w:tabs>
              <w:rPr/>
            </w:pPr>
            <w:r>
              <w:rPr>
                <w:rFonts w:eastAsia="CG Times"/>
              </w:rPr>
              <w:t xml:space="preserve">        </w:t>
            </w:r>
            <w:r>
              <w:rPr/>
              <w:t>$78</w:t>
            </w:r>
          </w:p>
        </w:tc>
      </w:tr>
      <w:tr>
        <w:trPr/>
        <w:tc>
          <w:tcPr>
            <w:tcW w:w="1476" w:type="dxa"/>
            <w:tcBorders>
              <w:top w:val="single" w:sz="4" w:space="0" w:color="000000"/>
              <w:start w:val="double" w:sz="4" w:space="0" w:color="000000"/>
              <w:bottom w:val="double" w:sz="4" w:space="0" w:color="000000"/>
              <w:end w:val="single" w:sz="4" w:space="0" w:color="000000"/>
            </w:tcBorders>
          </w:tcPr>
          <w:p>
            <w:pPr>
              <w:pStyle w:val="Footer"/>
              <w:tabs>
                <w:tab w:val="clear" w:pos="4320"/>
                <w:tab w:val="clear" w:pos="8640"/>
              </w:tabs>
              <w:rPr/>
            </w:pPr>
            <w:r>
              <w:rPr>
                <w:rFonts w:eastAsia="CG Times"/>
              </w:rPr>
              <w:t xml:space="preserve">     </w:t>
            </w:r>
            <w:r>
              <w:rPr/>
              <w:t>10%</w:t>
            </w:r>
          </w:p>
        </w:tc>
        <w:tc>
          <w:tcPr>
            <w:tcW w:w="1692"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rPr/>
            </w:pPr>
            <w:r>
              <w:rPr>
                <w:rFonts w:eastAsia="CG Times"/>
              </w:rPr>
              <w:t xml:space="preserve">         </w:t>
            </w:r>
            <w:r>
              <w:rPr/>
              <w:t>$66</w:t>
            </w:r>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$51</w:t>
            </w:r>
          </w:p>
        </w:tc>
        <w:tc>
          <w:tcPr>
            <w:tcW w:w="1476"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$117</w:t>
            </w:r>
          </w:p>
        </w:tc>
        <w:tc>
          <w:tcPr>
            <w:tcW w:w="1548" w:type="dxa"/>
            <w:tcBorders>
              <w:top w:val="single" w:sz="4" w:space="0" w:color="000000"/>
              <w:start w:val="single" w:sz="4" w:space="0" w:color="000000"/>
              <w:bottom w:val="double" w:sz="4" w:space="0" w:color="000000"/>
              <w:end w:val="single" w:sz="4" w:space="0" w:color="000000"/>
            </w:tcBorders>
          </w:tcPr>
          <w:p>
            <w:pPr>
              <w:pStyle w:val="Footer"/>
              <w:tabs>
                <w:tab w:val="clear" w:pos="4320"/>
                <w:tab w:val="clear" w:pos="8640"/>
              </w:tabs>
              <w:jc w:val="center"/>
              <w:rPr/>
            </w:pPr>
            <w:r>
              <w:rPr/>
              <w:t>$173</w:t>
            </w:r>
          </w:p>
        </w:tc>
        <w:tc>
          <w:tcPr>
            <w:tcW w:w="1620" w:type="dxa"/>
            <w:tcBorders>
              <w:top w:val="single" w:sz="4" w:space="0" w:color="000000"/>
              <w:start w:val="single" w:sz="4" w:space="0" w:color="000000"/>
              <w:bottom w:val="double" w:sz="4" w:space="0" w:color="000000"/>
              <w:end w:val="double" w:sz="4" w:space="0" w:color="000000"/>
            </w:tcBorders>
          </w:tcPr>
          <w:p>
            <w:pPr>
              <w:pStyle w:val="Footer"/>
              <w:tabs>
                <w:tab w:val="clear" w:pos="4320"/>
                <w:tab w:val="clear" w:pos="8640"/>
              </w:tabs>
              <w:rPr/>
            </w:pPr>
            <w:r>
              <w:rPr>
                <w:rFonts w:eastAsia="CG Times"/>
              </w:rPr>
              <w:t xml:space="preserve">        </w:t>
            </w:r>
            <w:r>
              <w:rPr/>
              <w:t>$50</w:t>
            </w:r>
          </w:p>
        </w:tc>
      </w:tr>
    </w:tbl>
    <w:p>
      <w:pPr>
        <w:pStyle w:val="Footer"/>
        <w:tabs>
          <w:tab w:val="clear" w:pos="4320"/>
          <w:tab w:val="clear" w:pos="8640"/>
        </w:tabs>
        <w:rPr/>
      </w:pPr>
      <w:r>
        <w:rPr/>
      </w:r>
    </w:p>
    <w:p>
      <w:pPr>
        <w:pStyle w:val="Normal"/>
        <w:spacing w:lineRule="auto" w:line="480"/>
        <w:ind w:firstLine="720" w:end="0"/>
        <w:rPr/>
      </w:pPr>
      <w:r>
        <w:rPr/>
        <w:t>Table Two above reports that an average price of $712/MWH would be needed to justify investment in a new peaking plant if it was expected to run just 1% of the time.  In FY00/99, the average price in the 1% of the hours with the highest prices was $557/MWH which falls short of the level needed to justify investment.  In FY99/98, gas prices would have been lower so we cannot compare the total cost.  However, we can see in the Table that, since the average price was just $147/MWH, an investor would not even come close to covering its fixed costs if the expectation was to run just 1% of the time.</w:t>
      </w:r>
    </w:p>
    <w:p>
      <w:pPr>
        <w:pStyle w:val="Footer"/>
        <w:tabs>
          <w:tab w:val="clear" w:pos="4320"/>
          <w:tab w:val="clear" w:pos="8640"/>
        </w:tabs>
        <w:spacing w:lineRule="auto" w:line="480"/>
        <w:rPr/>
      </w:pPr>
      <w:r>
        <w:rPr/>
      </w:r>
    </w:p>
    <w:p>
      <w:pPr>
        <w:pStyle w:val="Normal"/>
        <w:spacing w:lineRule="auto" w:line="480"/>
        <w:ind w:firstLine="720" w:end="0"/>
        <w:rPr/>
      </w:pPr>
      <w:r>
        <w:rPr/>
        <w:t>For the other levels of operation, the average market prices in FY00/99 appear to be high enough.  For example, if the plant expected to run 10% of the hours in a year, the required price is $117/MWH while the average price in the top 10% of the hours was $173/MWH. But, again, it is important to see that an investor must expect to see a price high enough to cover investment costs in all fifteen years, not just in one year.  So it is important to look back to the previous fiscal year, FY99/98. Here again, at the 2%, 5%, and 10% levels of operation, the prices in the California market were not high enough to cover even the fixed costs of a new peaking plant.  Looking at the highest level of operation, we estimated that a price of $66/MWH would be needed to cover the fixed costs of a new peaking plant.  The actual price in the highest cost 10% of the year was only $50/MWH in FY99/98.</w:t>
      </w:r>
    </w:p>
    <w:p>
      <w:pPr>
        <w:pStyle w:val="Normal"/>
        <w:spacing w:lineRule="auto" w:line="480"/>
        <w:rPr/>
      </w:pPr>
      <w:r>
        <w:rPr/>
      </w:r>
    </w:p>
    <w:p>
      <w:pPr>
        <w:pStyle w:val="Normal"/>
        <w:spacing w:lineRule="auto" w:line="480"/>
        <w:ind w:firstLine="720" w:end="0"/>
        <w:rPr/>
      </w:pPr>
      <w:r>
        <w:rPr/>
        <w:t>One assumption implicit in this calculation of the required price is that the owner of the new combustion turbine power plant must earn all of its revenue from the energy market.  Most importantly, it assumes there is no separate capacity price paid to cover part or all of the annual capital-related costs.</w:t>
      </w:r>
    </w:p>
    <w:p>
      <w:pPr>
        <w:pStyle w:val="Normal"/>
        <w:spacing w:lineRule="auto" w:line="480"/>
        <w:rPr/>
      </w:pPr>
      <w:r>
        <w:rPr/>
      </w:r>
    </w:p>
    <w:p>
      <w:pPr>
        <w:pStyle w:val="Normal"/>
        <w:spacing w:lineRule="auto" w:line="480"/>
        <w:rPr/>
      </w:pPr>
      <w:r>
        <w:rPr/>
        <w:tab/>
        <w:t>Another assumption is that one can build and operate a simple cycle turbine in California at a “generic” cost.  Higher environmental control costs such as the cost of offsets might belie the assumption, and environmental costs are not reflected here.</w:t>
      </w:r>
    </w:p>
    <w:p>
      <w:pPr>
        <w:pStyle w:val="Normal"/>
        <w:spacing w:lineRule="auto" w:line="480"/>
        <w:rPr/>
      </w:pPr>
      <w:r>
        <w:rPr/>
      </w:r>
    </w:p>
    <w:p>
      <w:pPr>
        <w:pStyle w:val="Normal"/>
        <w:spacing w:lineRule="auto" w:line="480"/>
        <w:ind w:firstLine="720" w:end="0"/>
        <w:rPr/>
      </w:pPr>
      <w:r>
        <w:rPr/>
        <w:t>Finally, as already noted, this simplified analysis puts aside the issue of determining the right mix of base, intermediate, and peaking plants.  For example, another financial model in Appendix 1 estimates the fixed cost for a gas-fired combined cycle plant to be about $103.77/kw-year.  With a 50% capacity factor, this means an average price of $23.69/MWH would be needed to cover fixed costs.  Fuel costs would have to be added.  Assuming an 8,000 Btu/kwh heat rate and using the average price of $3.10/MMBtu for gas delivered to Southern California in FY00/99, yields a fuel cost of $24.80/MWH.</w:t>
      </w:r>
    </w:p>
    <w:p>
      <w:pPr>
        <w:pStyle w:val="Normal"/>
        <w:spacing w:lineRule="auto" w:line="480"/>
        <w:rPr/>
      </w:pPr>
      <w:r>
        <w:rPr/>
      </w:r>
    </w:p>
    <w:p>
      <w:pPr>
        <w:sectPr>
          <w:headerReference w:type="default" r:id="rId18"/>
          <w:headerReference w:type="first" r:id="rId19"/>
          <w:footerReference w:type="default" r:id="rId20"/>
          <w:footerReference w:type="first" r:id="rId21"/>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rPr/>
      </w:pPr>
      <w:r>
        <w:rPr/>
        <w:tab/>
        <w:t>So a combined cycle power plant operated 50% of the time would require an average price of $48.49/MWH.  As reported earlier in Table A3, the average price in the highest-price 50% of the hours in FY00/99 was $68.57/MWH.  However, the Average Day-Ahead price was just $34.38/MWH in FY99/98.  Even allowing for a lower gas price, this was unlikely to be sufficient by itself to justify new investment.</w:t>
        <w:tab/>
      </w:r>
    </w:p>
    <w:p>
      <w:pPr>
        <w:pStyle w:val="BodyText"/>
        <w:jc w:val="start"/>
        <w:rPr>
          <w:b/>
        </w:rPr>
      </w:pPr>
      <w:r>
        <w:rPr>
          <w:b/>
        </w:rPr>
        <w:t>IV.  POSSIBLE EFFECT OF PRICE CAPS ON THE EMERGENCE OF RISK MITIGATION PRODUCTS TO PROTECT CONSUMERS AGAINST PRICE SPIKES</w:t>
      </w:r>
    </w:p>
    <w:p>
      <w:pPr>
        <w:pStyle w:val="Normal"/>
        <w:spacing w:lineRule="auto" w:line="480"/>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7">
                <wp:simplePos x="0" y="0"/>
                <wp:positionH relativeFrom="column">
                  <wp:posOffset>-62865</wp:posOffset>
                </wp:positionH>
                <wp:positionV relativeFrom="paragraph">
                  <wp:posOffset>71120</wp:posOffset>
                </wp:positionV>
                <wp:extent cx="5943600" cy="0"/>
                <wp:effectExtent l="0" t="14605" r="0" b="14605"/>
                <wp:wrapNone/>
                <wp:docPr id="6" name=""/>
                <a:graphic xmlns:a="http://schemas.openxmlformats.org/drawingml/2006/main">
                  <a:graphicData uri="http://schemas.microsoft.com/office/word/2010/wordprocessingShape">
                    <wps:wsp>
                      <wps:cNvSpPr/>
                      <wps:spPr>
                        <a:xfrm>
                          <a:off x="0" y="0"/>
                          <a:ext cx="59436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95pt,5.6pt" to="463pt,5.6pt" stroked="t" o:allowincell="f" style="position:absolute">
                <v:stroke color="black" weight="28440" joinstyle="miter" endcap="flat"/>
                <v:fill o:detectmouseclick="t" on="false"/>
                <w10:wrap type="none"/>
              </v:line>
            </w:pict>
          </mc:Fallback>
        </mc:AlternateContent>
      </w:r>
    </w:p>
    <w:p>
      <w:pPr>
        <w:pStyle w:val="Normal"/>
        <w:spacing w:lineRule="auto" w:line="480"/>
        <w:ind w:firstLine="720" w:end="0"/>
        <w:rPr/>
      </w:pPr>
      <w:r>
        <w:rPr/>
        <w:t>Price volatility can be an inherent part of any commodity spot market.  At the moment, several energy commodities are proving this point.  Crude oil prices have swung from as low as $10/barrel to over $30/barrel in a relatively short period.  As noted above, natural gas prices have experienced a rapid run up this year.  And, of course, volatility in electricity prices is well publicized.</w:t>
      </w:r>
    </w:p>
    <w:p>
      <w:pPr>
        <w:pStyle w:val="Normal"/>
        <w:spacing w:lineRule="auto" w:line="480"/>
        <w:rPr/>
      </w:pPr>
      <w:r>
        <w:rPr/>
      </w:r>
    </w:p>
    <w:p>
      <w:pPr>
        <w:pStyle w:val="Normal"/>
        <w:spacing w:lineRule="auto" w:line="480"/>
        <w:ind w:firstLine="720" w:end="0"/>
        <w:rPr/>
      </w:pPr>
      <w:r>
        <w:rPr/>
        <w:t>Volatility may be even more pronounced in businesses that are capital intensive like electricity.  The capital intensity can mean that supply and demand are more often thrown out of balance because supply expansions may come in large blocks that can lag or lead growth in demand.  And, when imbalance occurs, relatively low variable costs mean prices can fall precipitously.</w:t>
      </w:r>
    </w:p>
    <w:p>
      <w:pPr>
        <w:pStyle w:val="Normal"/>
        <w:spacing w:lineRule="auto" w:line="480"/>
        <w:rPr/>
      </w:pPr>
      <w:r>
        <w:rPr/>
      </w:r>
    </w:p>
    <w:p>
      <w:pPr>
        <w:pStyle w:val="Normal"/>
        <w:spacing w:lineRule="auto" w:line="480"/>
        <w:rPr/>
      </w:pPr>
      <w:r>
        <w:rPr/>
        <w:tab/>
        <w:t>The key issue is what can consumers do about volatility.  One obvious answer is that they (or, as is likely, load serving entities (LSE)) can sign fixed-price bilateral contracts.  Another possibility is to use more sophisticated risk mitigation tools such as call options.</w:t>
      </w:r>
    </w:p>
    <w:p>
      <w:pPr>
        <w:pStyle w:val="Normal"/>
        <w:spacing w:lineRule="auto" w:line="480"/>
        <w:rPr/>
      </w:pPr>
      <w:r>
        <w:rPr/>
      </w:r>
    </w:p>
    <w:p>
      <w:pPr>
        <w:pStyle w:val="Normal"/>
        <w:spacing w:lineRule="auto" w:line="480"/>
        <w:rPr/>
      </w:pPr>
      <w:r>
        <w:rPr/>
        <w:tab/>
        <w:t>A call option means the LSE has the right, but not the obligation, to buy electricity at a set price.  For example, say an LSE wants to protect its customers from ever facing an energy price exceeding $250/MWH.  That LSE would buy a call option with a strike price of $250/MWH.  If, when the LSE goes to market, it finds the spot price exceeds $250/MWH, the LSE will exercise the option.  If, on the other hand, the market price is below $250, the LSE will simply buy at the lower market price.  Competitive power suppliers are ready to sell options such as this.  The only question is how much it would cost – that is, what is the upfront option price.  A widely used approach to option pricing is the Black-Scholes option pricing formula.</w:t>
      </w:r>
    </w:p>
    <w:p>
      <w:pPr>
        <w:pStyle w:val="Normal"/>
        <w:spacing w:lineRule="auto" w:line="480"/>
        <w:rPr/>
      </w:pPr>
      <w:r>
        <w:rPr/>
      </w:r>
    </w:p>
    <w:p>
      <w:pPr>
        <w:pStyle w:val="Normal"/>
        <w:spacing w:lineRule="auto" w:line="480"/>
        <w:rPr/>
      </w:pPr>
      <w:r>
        <w:rPr/>
        <w:tab/>
        <w:t>The Black- Scholes formula shows the option price a consumer would be willing to pay depends on several factors.  One of the more important of these is the degree of volatility observed in prices; this is measured by the statistic of measure called variance.  The more volatility, the higher the option price.  Another important factor affecting the option price is the price level at which the option can be exercised, that is, the strike price.  The lower the strike price relative to observed prices, the higher the option price.  Other factors affecting the option price include the time left to the expiration date and an input called the risk free rate of return.</w:t>
      </w:r>
    </w:p>
    <w:p>
      <w:pPr>
        <w:pStyle w:val="Normal"/>
        <w:spacing w:lineRule="auto" w:line="480"/>
        <w:rPr/>
      </w:pPr>
      <w:r>
        <w:rPr/>
      </w:r>
    </w:p>
    <w:p>
      <w:pPr>
        <w:pStyle w:val="Normal"/>
        <w:spacing w:lineRule="auto" w:line="480"/>
        <w:rPr/>
      </w:pPr>
      <w:r>
        <w:rPr/>
        <w:tab/>
        <w:t>Just to illustrate the point, we used the Black-Scholes formula to price a hypothetical option that would protect consumers against prices above $250/MWH.  We assumed the option is written on September 1, 2000, providing the right to buy 1 MWH of energy at $250/MWH in every hour of the peak periods of June and July 2001; the peak period was defined as 11 a.m. to 6 p.m. weekdays.  We used Black-Scholes to calculate an option price for each hour and then summed the hourly prices to get a total option price.  We based the inputs to the Black-Scholes formula on the actual prices in the PX’s Day-Ahead Market for the peak period in June and July of this year.</w:t>
      </w:r>
    </w:p>
    <w:p>
      <w:pPr>
        <w:pStyle w:val="Normal"/>
        <w:spacing w:lineRule="auto" w:line="480"/>
        <w:rPr/>
      </w:pPr>
      <w:r>
        <w:rPr/>
      </w:r>
    </w:p>
    <w:p>
      <w:pPr>
        <w:pStyle w:val="Normal"/>
        <w:spacing w:lineRule="auto" w:line="480"/>
        <w:rPr/>
      </w:pPr>
      <w:r>
        <w:rPr/>
        <w:tab/>
        <w:t>The estimated option price is $15,404.  That is, given the recent level and volatility of Day-Ahead prices, an LSE would pay $15,404 to get secure protection against prices at or above $250/MWH in the peak periods of June and July 2001.</w:t>
      </w:r>
    </w:p>
    <w:p>
      <w:pPr>
        <w:pStyle w:val="Normal"/>
        <w:spacing w:lineRule="auto" w:line="480"/>
        <w:rPr/>
      </w:pPr>
      <w:r>
        <w:rPr/>
      </w:r>
    </w:p>
    <w:p>
      <w:pPr>
        <w:pStyle w:val="Normal"/>
        <w:spacing w:lineRule="auto" w:line="480"/>
        <w:rPr/>
      </w:pPr>
      <w:r>
        <w:rPr/>
        <w:tab/>
        <w:t>As illustrated in the previous section, spot prices may need to be at fairly high levels to justify investment in peaking plants and a price cap can stifle needed investment.  Likewise, price caps can stifle the emergence of risk mitigation products like options.  To illustrate this point, Table Three displays the effect a $250 price cap might have on the value of options with three different strike prices.</w:t>
      </w:r>
    </w:p>
    <w:p>
      <w:pPr>
        <w:pStyle w:val="Footer"/>
        <w:tabs>
          <w:tab w:val="clear" w:pos="4320"/>
          <w:tab w:val="clear" w:pos="8640"/>
        </w:tabs>
        <w:rPr/>
      </w:pPr>
      <w:r>
        <w:rPr/>
      </w:r>
    </w:p>
    <w:p>
      <w:pPr>
        <w:pStyle w:val="Heading4"/>
        <w:ind w:hanging="0" w:start="0"/>
        <w:rPr/>
      </w:pPr>
      <w:r>
        <w:rPr/>
        <w:t>Table Three</w:t>
      </w:r>
    </w:p>
    <w:p>
      <w:pPr>
        <w:pStyle w:val="Normal"/>
        <w:jc w:val="center"/>
        <w:rPr/>
      </w:pPr>
      <w:r>
        <w:rPr/>
      </w:r>
    </w:p>
    <w:p>
      <w:pPr>
        <w:pStyle w:val="Normal"/>
        <w:jc w:val="center"/>
        <w:rPr/>
      </w:pPr>
      <w:r>
        <w:rPr/>
        <w:t>EFFECT OF PRICE CAP ON CALL OPTION VALUES IN CALIFORNIA</w:t>
      </w:r>
    </w:p>
    <w:p>
      <w:pPr>
        <w:pStyle w:val="Normal"/>
        <w:jc w:val="center"/>
        <w:rPr/>
      </w:pPr>
      <w:r>
        <w:rPr/>
      </w:r>
    </w:p>
    <w:tbl>
      <w:tblPr>
        <w:tblW w:w="7745" w:type="dxa"/>
        <w:jc w:val="center"/>
        <w:tblInd w:w="0" w:type="dxa"/>
        <w:tblLayout w:type="fixed"/>
        <w:tblCellMar>
          <w:top w:w="0" w:type="dxa"/>
          <w:start w:w="108" w:type="dxa"/>
          <w:bottom w:w="0" w:type="dxa"/>
          <w:end w:w="108" w:type="dxa"/>
        </w:tblCellMar>
      </w:tblPr>
      <w:tblGrid>
        <w:gridCol w:w="2268"/>
        <w:gridCol w:w="2525"/>
        <w:gridCol w:w="2952"/>
      </w:tblGrid>
      <w:tr>
        <w:trPr/>
        <w:tc>
          <w:tcPr>
            <w:tcW w:w="2268" w:type="dxa"/>
            <w:tcBorders>
              <w:top w:val="double" w:sz="4" w:space="0" w:color="000000"/>
              <w:start w:val="double" w:sz="4" w:space="0" w:color="000000"/>
              <w:end w:val="single" w:sz="4" w:space="0" w:color="000000"/>
            </w:tcBorders>
          </w:tcPr>
          <w:p>
            <w:pPr>
              <w:pStyle w:val="Normal"/>
              <w:snapToGrid w:val="false"/>
              <w:jc w:val="center"/>
              <w:rPr/>
            </w:pPr>
            <w:r>
              <w:rPr/>
            </w:r>
          </w:p>
        </w:tc>
        <w:tc>
          <w:tcPr>
            <w:tcW w:w="5477" w:type="dxa"/>
            <w:gridSpan w:val="2"/>
            <w:tcBorders>
              <w:top w:val="double" w:sz="4" w:space="0" w:color="000000"/>
              <w:start w:val="single" w:sz="4" w:space="0" w:color="000000"/>
              <w:bottom w:val="single" w:sz="4" w:space="0" w:color="000000"/>
              <w:end w:val="double" w:sz="4" w:space="0" w:color="000000"/>
            </w:tcBorders>
          </w:tcPr>
          <w:p>
            <w:pPr>
              <w:pStyle w:val="Normal"/>
              <w:jc w:val="center"/>
              <w:rPr/>
            </w:pPr>
            <w:r>
              <w:rPr/>
              <w:t>Call Option Value With</w:t>
            </w:r>
          </w:p>
        </w:tc>
      </w:tr>
      <w:tr>
        <w:trPr/>
        <w:tc>
          <w:tcPr>
            <w:tcW w:w="2268" w:type="dxa"/>
            <w:tcBorders>
              <w:start w:val="double" w:sz="4" w:space="0" w:color="000000"/>
              <w:bottom w:val="double" w:sz="4" w:space="0" w:color="000000"/>
              <w:end w:val="single" w:sz="4" w:space="0" w:color="000000"/>
            </w:tcBorders>
          </w:tcPr>
          <w:p>
            <w:pPr>
              <w:pStyle w:val="Normal"/>
              <w:jc w:val="center"/>
              <w:rPr/>
            </w:pPr>
            <w:r>
              <w:rPr/>
              <w:t>Strike Price</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Existing Price Caps</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t>$250/MWH Price Cap</w:t>
            </w:r>
          </w:p>
        </w:tc>
      </w:tr>
      <w:tr>
        <w:trPr/>
        <w:tc>
          <w:tcPr>
            <w:tcW w:w="2268" w:type="dxa"/>
            <w:tcBorders>
              <w:top w:val="double" w:sz="4" w:space="0" w:color="000000"/>
              <w:start w:val="double" w:sz="4" w:space="0" w:color="000000"/>
              <w:bottom w:val="single" w:sz="4" w:space="0" w:color="000000"/>
              <w:end w:val="single" w:sz="4" w:space="0" w:color="000000"/>
            </w:tcBorders>
          </w:tcPr>
          <w:p>
            <w:pPr>
              <w:pStyle w:val="Normal"/>
              <w:jc w:val="center"/>
              <w:rPr/>
            </w:pPr>
            <w:r>
              <w:rPr/>
              <w:t>$100</w:t>
            </w:r>
          </w:p>
        </w:tc>
        <w:tc>
          <w:tcPr>
            <w:tcW w:w="2525" w:type="dxa"/>
            <w:tcBorders>
              <w:top w:val="double" w:sz="4" w:space="0" w:color="000000"/>
              <w:start w:val="single" w:sz="4" w:space="0" w:color="000000"/>
              <w:bottom w:val="single" w:sz="4" w:space="0" w:color="000000"/>
              <w:end w:val="single" w:sz="4" w:space="0" w:color="000000"/>
            </w:tcBorders>
          </w:tcPr>
          <w:p>
            <w:pPr>
              <w:pStyle w:val="Normal"/>
              <w:jc w:val="center"/>
              <w:rPr/>
            </w:pPr>
            <w:r>
              <w:rPr/>
              <w:t>$42,938</w:t>
            </w:r>
          </w:p>
        </w:tc>
        <w:tc>
          <w:tcPr>
            <w:tcW w:w="2952" w:type="dxa"/>
            <w:tcBorders>
              <w:top w:val="double" w:sz="4" w:space="0" w:color="000000"/>
              <w:start w:val="single" w:sz="4" w:space="0" w:color="000000"/>
              <w:bottom w:val="single" w:sz="4" w:space="0" w:color="000000"/>
              <w:end w:val="double" w:sz="4" w:space="0" w:color="000000"/>
            </w:tcBorders>
          </w:tcPr>
          <w:p>
            <w:pPr>
              <w:pStyle w:val="Normal"/>
              <w:jc w:val="center"/>
              <w:rPr/>
            </w:pPr>
            <w:r>
              <w:rPr/>
              <w:t>$16,923</w:t>
            </w:r>
          </w:p>
        </w:tc>
      </w:tr>
      <w:tr>
        <w:trPr/>
        <w:tc>
          <w:tcPr>
            <w:tcW w:w="2268" w:type="dxa"/>
            <w:tcBorders>
              <w:top w:val="single" w:sz="4" w:space="0" w:color="000000"/>
              <w:start w:val="double" w:sz="4" w:space="0" w:color="000000"/>
              <w:bottom w:val="single" w:sz="4" w:space="0" w:color="000000"/>
              <w:end w:val="single" w:sz="4" w:space="0" w:color="000000"/>
            </w:tcBorders>
          </w:tcPr>
          <w:p>
            <w:pPr>
              <w:pStyle w:val="Normal"/>
              <w:jc w:val="center"/>
              <w:rPr/>
            </w:pPr>
            <w:r>
              <w:rPr/>
              <w:t>$150</w:t>
            </w:r>
          </w:p>
        </w:tc>
        <w:tc>
          <w:tcPr>
            <w:tcW w:w="2525" w:type="dxa"/>
            <w:tcBorders>
              <w:top w:val="single" w:sz="4" w:space="0" w:color="000000"/>
              <w:start w:val="single" w:sz="4" w:space="0" w:color="000000"/>
              <w:bottom w:val="single" w:sz="4" w:space="0" w:color="000000"/>
              <w:end w:val="single" w:sz="4" w:space="0" w:color="000000"/>
            </w:tcBorders>
          </w:tcPr>
          <w:p>
            <w:pPr>
              <w:pStyle w:val="Normal"/>
              <w:jc w:val="center"/>
              <w:rPr/>
            </w:pPr>
            <w:r>
              <w:rPr/>
              <w:t>$31,105</w:t>
            </w:r>
          </w:p>
        </w:tc>
        <w:tc>
          <w:tcPr>
            <w:tcW w:w="2952" w:type="dxa"/>
            <w:tcBorders>
              <w:top w:val="single" w:sz="4" w:space="0" w:color="000000"/>
              <w:start w:val="single" w:sz="4" w:space="0" w:color="000000"/>
              <w:bottom w:val="single" w:sz="4" w:space="0" w:color="000000"/>
              <w:end w:val="double" w:sz="4" w:space="0" w:color="000000"/>
            </w:tcBorders>
          </w:tcPr>
          <w:p>
            <w:pPr>
              <w:pStyle w:val="Normal"/>
              <w:jc w:val="center"/>
              <w:rPr/>
            </w:pPr>
            <w:r>
              <w:rPr>
                <w:rFonts w:eastAsia="CG Times"/>
              </w:rPr>
              <w:t xml:space="preserve"> </w:t>
            </w:r>
            <w:r>
              <w:rPr/>
              <w:t>$7,519</w:t>
            </w:r>
          </w:p>
        </w:tc>
      </w:tr>
      <w:tr>
        <w:trPr/>
        <w:tc>
          <w:tcPr>
            <w:tcW w:w="2268" w:type="dxa"/>
            <w:tcBorders>
              <w:top w:val="single" w:sz="4" w:space="0" w:color="000000"/>
              <w:start w:val="double" w:sz="4" w:space="0" w:color="000000"/>
              <w:bottom w:val="double" w:sz="4" w:space="0" w:color="000000"/>
              <w:end w:val="single" w:sz="4" w:space="0" w:color="000000"/>
            </w:tcBorders>
          </w:tcPr>
          <w:p>
            <w:pPr>
              <w:pStyle w:val="Normal"/>
              <w:jc w:val="center"/>
              <w:rPr/>
            </w:pPr>
            <w:r>
              <w:rPr/>
              <w:t>$250</w:t>
            </w:r>
          </w:p>
        </w:tc>
        <w:tc>
          <w:tcPr>
            <w:tcW w:w="2525" w:type="dxa"/>
            <w:tcBorders>
              <w:top w:val="single" w:sz="4" w:space="0" w:color="000000"/>
              <w:start w:val="single" w:sz="4" w:space="0" w:color="000000"/>
              <w:bottom w:val="double" w:sz="4" w:space="0" w:color="000000"/>
              <w:end w:val="single" w:sz="4" w:space="0" w:color="000000"/>
            </w:tcBorders>
          </w:tcPr>
          <w:p>
            <w:pPr>
              <w:pStyle w:val="Normal"/>
              <w:jc w:val="center"/>
              <w:rPr/>
            </w:pPr>
            <w:r>
              <w:rPr/>
              <w:t>$15,404</w:t>
            </w:r>
          </w:p>
        </w:tc>
        <w:tc>
          <w:tcPr>
            <w:tcW w:w="2952" w:type="dxa"/>
            <w:tcBorders>
              <w:top w:val="single" w:sz="4" w:space="0" w:color="000000"/>
              <w:start w:val="single" w:sz="4" w:space="0" w:color="000000"/>
              <w:bottom w:val="double" w:sz="4" w:space="0" w:color="000000"/>
              <w:end w:val="double" w:sz="4" w:space="0" w:color="000000"/>
            </w:tcBorders>
          </w:tcPr>
          <w:p>
            <w:pPr>
              <w:pStyle w:val="Normal"/>
              <w:jc w:val="center"/>
              <w:rPr/>
            </w:pPr>
            <w:r>
              <w:rPr>
                <w:rFonts w:eastAsia="CG Times"/>
              </w:rPr>
              <w:t xml:space="preserve">      </w:t>
            </w:r>
            <w:r>
              <w:rPr/>
              <w:t>$0</w:t>
            </w:r>
            <w:r>
              <w:rPr>
                <w:rStyle w:val="FootnoteCharacters"/>
                <w:rStyle w:val="FootnoteReference"/>
              </w:rPr>
              <w:footnoteReference w:id="4"/>
            </w:r>
          </w:p>
        </w:tc>
      </w:tr>
    </w:tbl>
    <w:p>
      <w:pPr>
        <w:pStyle w:val="Normal"/>
        <w:jc w:val="center"/>
        <w:rPr/>
      </w:pPr>
      <w:r>
        <w:rPr/>
      </w:r>
    </w:p>
    <w:p>
      <w:pPr>
        <w:pStyle w:val="Footer"/>
        <w:tabs>
          <w:tab w:val="clear" w:pos="4320"/>
          <w:tab w:val="clear" w:pos="8640"/>
        </w:tabs>
        <w:spacing w:lineRule="auto" w:line="480"/>
        <w:rPr/>
      </w:pPr>
      <w:r>
        <w:rPr/>
      </w:r>
    </w:p>
    <w:p>
      <w:pPr>
        <w:pStyle w:val="Footer"/>
        <w:tabs>
          <w:tab w:val="clear" w:pos="4320"/>
          <w:tab w:val="clear" w:pos="8640"/>
        </w:tabs>
        <w:spacing w:lineRule="auto" w:line="480"/>
        <w:rPr/>
      </w:pPr>
      <w:r>
        <w:rPr/>
        <w:tab/>
        <w:t>The point of Table Three above is that a price cap greatly reduces the price an LSE would be willing to pay for a call option.  For example, with the levels and variation of prices seen this year, an LSE might pay $42,938 for protection against prices at or above $100/MWH next June and July.  However, with the artificial reduction in the price level and variability promised with a price cap of $250, the option value falls 61% to $16,923.  As expected, a price cap of $250 would wipe out consumer interest in the option with a $250 strike price.</w:t>
      </w:r>
    </w:p>
    <w:p>
      <w:pPr>
        <w:pStyle w:val="Footer"/>
        <w:tabs>
          <w:tab w:val="clear" w:pos="4320"/>
          <w:tab w:val="clear" w:pos="8640"/>
        </w:tabs>
        <w:spacing w:lineRule="auto" w:line="480"/>
        <w:rPr/>
      </w:pPr>
      <w:r>
        <w:rPr/>
      </w:r>
    </w:p>
    <w:p>
      <w:pPr>
        <w:pStyle w:val="Footer"/>
        <w:tabs>
          <w:tab w:val="clear" w:pos="4320"/>
          <w:tab w:val="clear" w:pos="8640"/>
        </w:tabs>
        <w:spacing w:lineRule="auto" w:line="480"/>
        <w:ind w:firstLine="720" w:end="0"/>
        <w:rPr>
          <w:b/>
        </w:rPr>
      </w:pPr>
      <w:r>
        <w:rPr/>
        <w:t xml:space="preserve">In effect, through the price caps, an ISO or another government agency would be offering the same risk protection of a call option for free.  A $250/MWH price cap would appear to offer the same risk protection as a call option and to do so </w:t>
      </w:r>
      <w:r>
        <w:rPr>
          <w:i/>
        </w:rPr>
        <w:t>at no charge</w:t>
      </w:r>
      <w:r>
        <w:rPr/>
        <w:t xml:space="preserve">.  In truth, the risk remains and consumers will bear the cost nonetheless.  For example, if a price greater than $250 must be paid to assure supply, the ISO will make emergency purchases and pass that high cost on to the consumers.  Or, if higher cost supply is not procured, consumers will bear the cost in the form of unmet needs including lost industrial production.  Moreover, A private market for risk mitigation has the advantage that (a) only those who want protection pay and (b) competition minimizes the cost.  Price caps stifle the emergence of such a market. </w:t>
      </w:r>
    </w:p>
    <w:p>
      <w:pPr>
        <w:pStyle w:val="Footer"/>
        <w:tabs>
          <w:tab w:val="clear" w:pos="4320"/>
          <w:tab w:val="clear" w:pos="8640"/>
        </w:tabs>
        <w:spacing w:lineRule="auto" w:line="480"/>
        <w:rPr>
          <w:b/>
        </w:rPr>
      </w:pPr>
      <w:r>
        <w:rPr>
          <w:b/>
        </w:rPr>
      </w:r>
    </w:p>
    <w:p>
      <w:pPr>
        <w:pStyle w:val="Footer"/>
        <w:tabs>
          <w:tab w:val="clear" w:pos="4320"/>
          <w:tab w:val="clear" w:pos="8640"/>
        </w:tabs>
        <w:spacing w:lineRule="auto" w:line="480"/>
        <w:rPr/>
      </w:pPr>
      <w:r>
        <w:rPr/>
      </w:r>
    </w:p>
    <w:p>
      <w:pPr>
        <w:pStyle w:val="Footer"/>
        <w:tabs>
          <w:tab w:val="clear" w:pos="4320"/>
          <w:tab w:val="clear" w:pos="8640"/>
        </w:tabs>
        <w:spacing w:lineRule="auto" w:line="480"/>
        <w:jc w:val="center"/>
        <w:rPr>
          <w:b/>
        </w:rPr>
      </w:pPr>
      <w:r>
        <mc:AlternateContent>
          <mc:Choice Requires="wps">
            <w:drawing>
              <wp:anchor behindDoc="0" distT="0" distB="0" distL="114935" distR="114935" simplePos="0" locked="0" layoutInCell="1" allowOverlap="1" relativeHeight="8">
                <wp:simplePos x="0" y="0"/>
                <wp:positionH relativeFrom="column">
                  <wp:posOffset>51435</wp:posOffset>
                </wp:positionH>
                <wp:positionV relativeFrom="paragraph">
                  <wp:posOffset>688340</wp:posOffset>
                </wp:positionV>
                <wp:extent cx="5715000" cy="0"/>
                <wp:effectExtent l="0" t="14605" r="0" b="14605"/>
                <wp:wrapNone/>
                <wp:docPr id="7" name=""/>
                <a:graphic xmlns:a="http://schemas.openxmlformats.org/drawingml/2006/main">
                  <a:graphicData uri="http://schemas.microsoft.com/office/word/2010/wordprocessingShape">
                    <wps:wsp>
                      <wps:cNvSpPr/>
                      <wps:spPr>
                        <a:xfrm>
                          <a:off x="0" y="0"/>
                          <a:ext cx="5715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54.2pt" to="454pt,54.2pt" stroked="t" o:allowincell="f" style="position:absolute">
                <v:stroke color="black" weight="28440" joinstyle="miter" endcap="flat"/>
                <v:fill o:detectmouseclick="t" on="false"/>
                <w10:wrap type="none"/>
              </v:line>
            </w:pict>
          </mc:Fallback>
        </mc:AlternateContent>
      </w:r>
      <w:r>
        <w:rPr>
          <w:b/>
        </w:rPr>
        <w:t>V.  ANECDOTAL EVIDENCE ON THE PRICE LEVELS NEEDED TO ACHIEVE A DEMAND-SIDE RESPONSE TO PRICE SPIKES</w:t>
      </w:r>
    </w:p>
    <w:p>
      <w:pPr>
        <w:pStyle w:val="Footer"/>
        <w:tabs>
          <w:tab w:val="clear" w:pos="4320"/>
          <w:tab w:val="clear" w:pos="8640"/>
        </w:tabs>
        <w:spacing w:lineRule="auto" w:line="480"/>
        <w:jc w:val="center"/>
        <w:rPr>
          <w:b/>
        </w:rPr>
      </w:pPr>
      <w:r>
        <w:rPr>
          <w:b/>
        </w:rPr>
      </w:r>
    </w:p>
    <w:p>
      <w:pPr>
        <w:pStyle w:val="Footer"/>
        <w:tabs>
          <w:tab w:val="clear" w:pos="4320"/>
          <w:tab w:val="clear" w:pos="8640"/>
        </w:tabs>
        <w:spacing w:lineRule="auto" w:line="480"/>
        <w:rPr>
          <w:b/>
        </w:rPr>
      </w:pPr>
      <w:r>
        <w:rPr>
          <w:b/>
        </w:rPr>
      </w:r>
    </w:p>
    <w:p>
      <w:pPr>
        <w:pStyle w:val="Normal"/>
        <w:spacing w:lineRule="auto" w:line="480"/>
        <w:ind w:firstLine="720" w:end="0"/>
        <w:rPr/>
      </w:pPr>
      <w:r>
        <w:rPr/>
      </w:r>
    </w:p>
    <w:p>
      <w:pPr>
        <w:pStyle w:val="Normal"/>
        <w:spacing w:lineRule="auto" w:line="480"/>
        <w:ind w:firstLine="720" w:end="0"/>
        <w:rPr/>
      </w:pPr>
      <w:r>
        <w:rPr/>
        <w:t xml:space="preserve">The previous sections of this report have implicitly focused on new power plants as a remedy for high electricity prices and growing demand.  However, new power plants take time to build.  A shorter-term response can be achieved by managing demand.  </w:t>
      </w:r>
    </w:p>
    <w:p>
      <w:pPr>
        <w:pStyle w:val="Normal"/>
        <w:spacing w:lineRule="auto" w:line="480"/>
        <w:rPr/>
      </w:pPr>
      <w:r>
        <w:rPr/>
      </w:r>
    </w:p>
    <w:p>
      <w:pPr>
        <w:pStyle w:val="Normal"/>
        <w:spacing w:lineRule="auto" w:line="480"/>
        <w:ind w:firstLine="720" w:end="0"/>
        <w:rPr/>
      </w:pPr>
      <w:r>
        <w:rPr/>
        <w:t xml:space="preserve">One way to do this is to curtail key customers during peak demand periods.  A second, often related solution is investment in proprietary energy systems by enterprises that need to assure reliable electricity supply to run their businesses.  Large commercial or industrial customers especially may have options, like cogeneration or microturbines (“distributed generation”), that allow them to reduce their energy demand quickly or switch to self-supply when supply is uneven.  </w:t>
      </w:r>
    </w:p>
    <w:p>
      <w:pPr>
        <w:pStyle w:val="Normal"/>
        <w:spacing w:lineRule="auto" w:line="480"/>
        <w:ind w:firstLine="720" w:end="0"/>
        <w:rPr/>
      </w:pPr>
      <w:r>
        <w:rPr/>
      </w:r>
    </w:p>
    <w:p>
      <w:pPr>
        <w:pStyle w:val="Normal"/>
        <w:spacing w:lineRule="auto" w:line="480"/>
        <w:ind w:firstLine="720" w:end="0"/>
        <w:rPr/>
      </w:pPr>
      <w:r>
        <w:rPr/>
        <w:t>The question remains, at what point do high prices or supply instability elicit these demand-side responses from large customers?  There is now some anecdotal evidence on this from California and PJM.  In this regard, we will discuss herein two ISO programs, the California ISO’s Demand Relief Program and the PJM Customer Load Reduction Pilot Program.</w:t>
      </w:r>
    </w:p>
    <w:p>
      <w:pPr>
        <w:pStyle w:val="Normal"/>
        <w:spacing w:lineRule="auto" w:line="480"/>
        <w:ind w:firstLine="720" w:end="0"/>
        <w:rPr/>
      </w:pPr>
      <w:r>
        <w:rPr/>
      </w:r>
    </w:p>
    <w:p>
      <w:pPr>
        <w:pStyle w:val="Normal"/>
        <w:spacing w:lineRule="auto" w:line="480"/>
        <w:rPr/>
      </w:pPr>
      <w:r>
        <w:rPr/>
        <w:tab/>
        <w:t xml:space="preserve">Another factor driving some customers to decentralized generation is the high cost of unreliability.  We end this section with some brief anecdotal evidence on this point from high-tech businesses in California. </w:t>
      </w:r>
    </w:p>
    <w:p>
      <w:pPr>
        <w:pStyle w:val="Normal"/>
        <w:spacing w:lineRule="auto" w:line="480"/>
        <w:ind w:firstLine="720" w:end="0"/>
        <w:rPr/>
      </w:pPr>
      <w:r>
        <w:rPr/>
      </w:r>
    </w:p>
    <w:p>
      <w:pPr>
        <w:pStyle w:val="Heading1"/>
        <w:ind w:hanging="0" w:start="0"/>
        <w:rPr/>
      </w:pPr>
      <w:r>
        <w:rPr/>
        <w:t>ISO CURTAILMENT PROGRAMS</w:t>
      </w:r>
    </w:p>
    <w:p>
      <w:pPr>
        <w:pStyle w:val="Normal"/>
        <w:spacing w:lineRule="auto" w:line="480"/>
        <w:rPr>
          <w:b/>
        </w:rPr>
      </w:pPr>
      <w:r>
        <w:rPr>
          <w:b/>
        </w:rPr>
      </w:r>
    </w:p>
    <w:p>
      <w:pPr>
        <w:pStyle w:val="Normal"/>
        <w:spacing w:lineRule="auto" w:line="480"/>
        <w:ind w:firstLine="720" w:end="0"/>
        <w:rPr/>
      </w:pPr>
      <w:r>
        <w:rPr/>
        <w:t xml:space="preserve">The California Demand Relief Program 2000 was implemented by the ISO on a trial basis for this summer to reduce demand on the system during Stage 1 emergencies and to avoid more severe emergency conditions.  The ISO was seeking up to 1,000 MW of demand reduction, but received curtailment bids to reduce only 180 MW.  The California ISO will pay approximately $26.1 million in capacity payments for the curtailment over the four months of the program.  Demand Relief Program load participants will also receive the RealTime energy price as an energy payment when they are curtailed.  </w:t>
      </w:r>
    </w:p>
    <w:p>
      <w:pPr>
        <w:pStyle w:val="Normal"/>
        <w:spacing w:lineRule="auto" w:line="480"/>
        <w:ind w:firstLine="720" w:end="0"/>
        <w:rPr/>
      </w:pPr>
      <w:r>
        <w:rPr/>
      </w:r>
    </w:p>
    <w:p>
      <w:pPr>
        <w:pStyle w:val="Normal"/>
        <w:spacing w:lineRule="auto" w:line="480"/>
        <w:ind w:firstLine="720" w:end="0"/>
        <w:rPr/>
      </w:pPr>
      <w:r>
        <w:rPr/>
        <w:t>Given that each load participant can only be curtailed up to 30 hours per month, the capacity payment works out to an average of $1,207/MWH.  Adding an energy payment of $100-$250/MWH puts the total energy and capacity payment between $1,307/MWH and $1,457/MWH, far above the current $250/MWH cap currently in place in the energy market in California (there is no capacity payment in California).  Each Demand Relief Program load participant receives their individual curtailment bid prices, which are unpublished, as a capacity payment.  There is no market-clearing price for the Demand Relief capacity payment, therefore the dollar per megawatt prices calculated above are averages of all the bids.</w:t>
      </w:r>
    </w:p>
    <w:p>
      <w:pPr>
        <w:pStyle w:val="Normal"/>
        <w:spacing w:lineRule="auto" w:line="480"/>
        <w:ind w:firstLine="720" w:end="0"/>
        <w:rPr/>
      </w:pPr>
      <w:r>
        <w:rPr/>
      </w:r>
    </w:p>
    <w:p>
      <w:pPr>
        <w:pStyle w:val="Normal"/>
        <w:spacing w:lineRule="auto" w:line="480"/>
        <w:ind w:firstLine="720" w:end="0"/>
        <w:rPr/>
      </w:pPr>
      <w:r>
        <w:rPr/>
        <w:t xml:space="preserve">The California Demand Relief Program allows for load participants to be interrupted on business days between noon and 8:00 p.m., with a maximum curtailment of 30 hours per month.  A single curtailment event lasts a minimum of 2 hours and maximum of 8 hours.  Load participants were asked (a) to bid the amount of capacity they would reduce (up to 1,000 MW was sought) plus (b) the fixed dollar per MW-month price at which they were willing to curtail their demand.  Load participants are compensated for capacity based on their actual curtailment performance.  To monitor curtailment performance, load participants are required to install an approved interval meter.  A California ISO Demand Relief Program is already planned for Summer 2001, with an anticipated load of 3,000 MW.  </w:t>
      </w:r>
    </w:p>
    <w:p>
      <w:pPr>
        <w:pStyle w:val="Normal"/>
        <w:spacing w:lineRule="auto" w:line="480"/>
        <w:rPr/>
      </w:pPr>
      <w:r>
        <w:rPr/>
      </w:r>
    </w:p>
    <w:p>
      <w:pPr>
        <w:pStyle w:val="Normal"/>
        <w:spacing w:lineRule="auto" w:line="480"/>
        <w:rPr/>
      </w:pPr>
      <w:r>
        <w:rPr/>
        <w:tab/>
        <w:t xml:space="preserve">PJM Interconnection began a Customer Load Reduction Pilot Program in August 2000 under the auspices of their Distributed Generation User Group.  This small-scale program has elicited a response of 61.5 MW for the period between August 4, 2000 and September 30, 2000.  In return for curtailment on demand, load participants receive the higher of the Zonal Locational Marginal Price (“LMP”) or $500/MWH for metered reductions.  </w:t>
      </w:r>
    </w:p>
    <w:p>
      <w:pPr>
        <w:pStyle w:val="Normal"/>
        <w:spacing w:lineRule="auto" w:line="480"/>
        <w:rPr/>
      </w:pPr>
      <w:r>
        <w:rPr/>
      </w:r>
    </w:p>
    <w:p>
      <w:pPr>
        <w:pStyle w:val="Normal"/>
        <w:spacing w:lineRule="auto" w:line="480"/>
        <w:ind w:firstLine="720" w:end="0"/>
        <w:rPr/>
      </w:pPr>
      <w:r>
        <w:rPr/>
        <w:t>Costs for the Load Reduction Program purchases are treated as emergency purchases and are apportioned among PJM members according to their net purchases from the PJM energy market during the hour.  Load Reduction participants range in size between 200 kw and 15 MW.  The goal of the program is to better manage existing on-site generation or load management programs at large users like hospitals, hotels, factories, and retail stores.  Load reductions may be accomplished by disconnecting load from the system and either reducing load or provide load from back-up generators, or synchronizing back-up generators and self-supplying load requirements.</w:t>
      </w:r>
    </w:p>
    <w:p>
      <w:pPr>
        <w:pStyle w:val="Normal"/>
        <w:spacing w:lineRule="auto" w:line="480"/>
        <w:rPr/>
      </w:pPr>
      <w:r>
        <w:rPr/>
      </w:r>
    </w:p>
    <w:p>
      <w:pPr>
        <w:pStyle w:val="Heading1"/>
        <w:ind w:hanging="0" w:start="0"/>
        <w:rPr/>
      </w:pPr>
      <w:r>
        <w:rPr/>
        <w:t>THE COST OF UNRELIABILITY</w:t>
      </w:r>
    </w:p>
    <w:p>
      <w:pPr>
        <w:pStyle w:val="Normal"/>
        <w:spacing w:lineRule="auto" w:line="480"/>
        <w:rPr/>
      </w:pPr>
      <w:r>
        <w:rPr/>
      </w:r>
    </w:p>
    <w:p>
      <w:pPr>
        <w:pStyle w:val="Normal"/>
        <w:spacing w:lineRule="auto" w:line="480"/>
        <w:rPr/>
      </w:pPr>
      <w:r>
        <w:rPr/>
        <w:tab/>
        <w:t xml:space="preserve">Some electric customers want nothing to do with curtailment.  These customers do not look to reduce their energy demand because electricity supply is a cornerstone of their production process and the value of that production is high.  For example, the high technology sector requires highly reliable electric service 24 hours a day, 7 days a week.  In response to a generally stressed electricity system and demonstrated examples of voltage instability and brownouts, many high technology companies have installed cogeneration plants, on-site generators, proprietary substation and distribution systems, and battery systems.   The millions of dollars invested in electricity projects are justified by the huge cost of unreliability to this industry.  </w:t>
      </w:r>
    </w:p>
    <w:p>
      <w:pPr>
        <w:pStyle w:val="Normal"/>
        <w:spacing w:lineRule="auto" w:line="480"/>
        <w:rPr/>
      </w:pPr>
      <w:r>
        <w:rPr/>
      </w:r>
    </w:p>
    <w:p>
      <w:pPr>
        <w:pStyle w:val="Normal"/>
        <w:spacing w:lineRule="auto" w:line="480"/>
        <w:rPr/>
      </w:pPr>
      <w:r>
        <w:rPr/>
        <w:tab/>
        <w:t>Experience in northern California earlier this summer provided a snapshot of the cost of unreliable electric service to high-technology industries.  On June 14, 2000, rolling blackouts affected more than 100,000 customers in the PG&amp;E service area.  Apple Computer, Advanced Micro Devices, and Solectron were among the high-tech companies that had to stop operations due to the electricity cuts.  Accurate estimates of the cost of blackouts and voltage instability are hard to find, but during the June 2000 power outage, the Silicon Valley Manufacturer’s Group said that one company lost $3 million over 3 hours due to the power outage.</w:t>
      </w:r>
      <w:r>
        <w:rPr>
          <w:rStyle w:val="FootnoteCharacters"/>
          <w:rStyle w:val="FootnoteReference"/>
        </w:rPr>
        <w:footnoteReference w:id="5"/>
      </w:r>
      <w:r>
        <w:rPr/>
        <w:t xml:space="preserve">  And Hewlett Packard alone has estimated potential losses due to a rolling blackout could total at least $75 million per hour.</w:t>
      </w:r>
      <w:r>
        <w:rPr>
          <w:rStyle w:val="FootnoteCharacters"/>
          <w:rStyle w:val="FootnoteReference"/>
        </w:rPr>
        <w:footnoteReference w:id="6"/>
      </w:r>
      <w:r>
        <w:rPr/>
        <w:t xml:space="preserve">  Former PG&amp;E Economist Tappan Monroe estimates that the potential cost to Silicon Valley of voltage instability ranges from $75 to $100 million per day.</w:t>
      </w:r>
      <w:r>
        <w:rPr>
          <w:rStyle w:val="FootnoteCharacters"/>
          <w:rStyle w:val="FootnoteReference"/>
        </w:rPr>
        <w:footnoteReference w:id="7"/>
      </w:r>
      <w:r>
        <w:rPr/>
        <w:t xml:space="preserve">  Jeffrey D. Byron, Energy Director at Oracle Corporation, estimates that a single instance of voltage sag costs Oracle Corporation millions of dollars.</w:t>
      </w:r>
      <w:r>
        <w:rPr>
          <w:rStyle w:val="FootnoteCharacters"/>
        </w:rPr>
        <w:t xml:space="preserve"> </w:t>
      </w:r>
      <w:r>
        <w:rPr>
          <w:rStyle w:val="FootnoteCharacters"/>
          <w:rStyle w:val="FootnoteReference"/>
        </w:rPr>
        <w:footnoteReference w:id="8"/>
      </w:r>
      <w:r>
        <w:rPr/>
        <w:t xml:space="preserve">   </w:t>
      </w:r>
    </w:p>
    <w:p>
      <w:pPr>
        <w:pStyle w:val="Normal"/>
        <w:spacing w:lineRule="auto" w:line="480"/>
        <w:rPr/>
      </w:pPr>
      <w:r>
        <w:rPr/>
      </w:r>
    </w:p>
    <w:p>
      <w:pPr>
        <w:pStyle w:val="Normal"/>
        <w:spacing w:lineRule="auto" w:line="480"/>
        <w:ind w:firstLine="720" w:end="0"/>
        <w:rPr/>
      </w:pPr>
      <w:r>
        <w:rPr/>
        <w:t>It is important to see that the price of electricity as a cost to do business does not begin to encompass the importance of electricity in these businesses.  Electricity costs may be very small in proportion to other operating costs, but it is the life-blood of the digital operation.  The loss of electricity or voltage has implications in lost services to customers, foregone sales, and lost programming code; customer loyalty and company credibility suffer as well.</w:t>
      </w:r>
    </w:p>
    <w:p>
      <w:pPr>
        <w:pStyle w:val="Normal"/>
        <w:spacing w:lineRule="auto" w:line="480"/>
        <w:rPr/>
      </w:pPr>
      <w:r>
        <w:rPr/>
      </w:r>
    </w:p>
    <w:p>
      <w:pPr>
        <w:pStyle w:val="Normal"/>
        <w:spacing w:lineRule="auto" w:line="480"/>
        <w:rPr/>
      </w:pPr>
      <w:r>
        <w:rPr/>
        <w:tab/>
        <w:t xml:space="preserve">High technology enterprises that have been burned once by the inadequacies of the electricity system will not sit idle and wait for the FERC or the CA ISO to solve the problem.  Oracle reports that it has invested $6.5 million in its own substation and distribution system and spends thousands annually in maintenance on these systems.  The investment and maintenance costs for this electricity are the price that Oracle is willing to pay for reliability in their electricity supply, demonstrating how key electricity is to this industry.  </w:t>
      </w:r>
    </w:p>
    <w:p>
      <w:pPr>
        <w:pStyle w:val="Normal"/>
        <w:spacing w:lineRule="auto" w:line="480"/>
        <w:rPr/>
      </w:pPr>
      <w:r>
        <w:rPr/>
      </w:r>
    </w:p>
    <w:p>
      <w:pPr>
        <w:pStyle w:val="Normal"/>
        <w:spacing w:lineRule="auto" w:line="480"/>
        <w:ind w:firstLine="720" w:end="0"/>
        <w:rPr/>
      </w:pPr>
      <w:r>
        <w:rPr/>
        <w:t>Recently, microturbine and other distributed generation companies have seen a renewed interest in their products from the high-tech sector.  Capstone, which sells low emission, small-scale microturbines, has seen sales increase from 2 turbines in 1998 to 337 units in the first half of 2000.  Active Power, a company that markets its flywheel energy storage system to high technology and telecommunications companies, has seen its stock price rise from an IPO of $17 on August 7, 2000 to its current price of over $70 on September 18, 2000.</w:t>
      </w:r>
    </w:p>
    <w:p>
      <w:pPr>
        <w:pStyle w:val="Normal"/>
        <w:spacing w:lineRule="auto" w:line="480"/>
        <w:rPr/>
      </w:pPr>
      <w:r>
        <w:rPr/>
      </w:r>
    </w:p>
    <w:p>
      <w:pPr>
        <w:pStyle w:val="Normal"/>
        <w:spacing w:lineRule="auto" w:line="480"/>
        <w:rPr/>
      </w:pPr>
      <w:r>
        <w:rPr/>
        <w:tab/>
        <w:t xml:space="preserve"> </w:t>
      </w:r>
    </w:p>
    <w:p>
      <w:pPr>
        <w:pStyle w:val="Normal"/>
        <w:spacing w:lineRule="auto" w:line="480"/>
        <w:rPr/>
      </w:pPr>
      <w:r>
        <w:rPr/>
      </w:r>
    </w:p>
    <w:p>
      <w:pPr>
        <w:pStyle w:val="BodyTextIndent"/>
        <w:ind w:hanging="720" w:end="0"/>
        <w:rPr/>
      </w:pPr>
      <w:r>
        <w:rPr/>
      </w:r>
    </w:p>
    <w:p>
      <w:pPr>
        <w:pStyle w:val="BodyTextIndent"/>
        <w:ind w:hanging="720" w:end="0"/>
        <w:rPr/>
      </w:pPr>
      <w:r>
        <w:rPr/>
      </w:r>
    </w:p>
    <w:p>
      <w:pPr>
        <w:sectPr>
          <w:headerReference w:type="default" r:id="rId22"/>
          <w:headerReference w:type="first" r:id="rId23"/>
          <w:footerReference w:type="default" r:id="rId24"/>
          <w:footerReference w:type="first" r:id="rId2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spacing w:lineRule="auto" w:line="480"/>
        <w:rPr>
          <w:rFonts w:eastAsia="CG Times"/>
        </w:rPr>
      </w:pPr>
      <w:r>
        <w:rPr>
          <w:rFonts w:eastAsia="CG Times"/>
        </w:rPr>
        <w:t xml:space="preserve"> </w:t>
      </w:r>
    </w:p>
    <w:p>
      <w:pPr>
        <w:pStyle w:val="Footer"/>
        <w:tabs>
          <w:tab w:val="clear" w:pos="4320"/>
          <w:tab w:val="clear" w:pos="8640"/>
        </w:tabs>
        <w:jc w:val="center"/>
        <w:rPr>
          <w:b/>
        </w:rPr>
      </w:pPr>
      <w:r>
        <w:rPr>
          <w:b/>
        </w:rPr>
        <w:t>LIST OF ATTACHED TABLES</w:t>
      </w:r>
    </w:p>
    <w:p>
      <w:pPr>
        <w:pStyle w:val="Footer"/>
        <w:tabs>
          <w:tab w:val="clear" w:pos="4320"/>
          <w:tab w:val="clear" w:pos="8640"/>
        </w:tabs>
        <w:spacing w:lineRule="auto" w:line="480"/>
        <w:rPr>
          <w:b/>
        </w:rPr>
      </w:pPr>
      <w:r>
        <w:rPr>
          <w:b/>
        </w:rPr>
      </w:r>
    </w:p>
    <w:p>
      <w:pPr>
        <w:pStyle w:val="Normal"/>
        <w:spacing w:lineRule="auto" w:line="480"/>
        <w:ind w:hanging="450" w:start="450" w:end="0"/>
        <w:rPr/>
      </w:pPr>
      <w:r>
        <w:rPr/>
        <w:t>A1. Frequency of Price Spikes in the California PX Day-Ahead Market</w:t>
      </w:r>
    </w:p>
    <w:p>
      <w:pPr>
        <w:pStyle w:val="BodyTextIndent2"/>
        <w:ind w:hanging="450" w:start="450" w:end="0"/>
        <w:rPr/>
      </w:pPr>
      <w:r>
        <w:rPr/>
        <w:t>A2. Frequency of Price Spikes in the California PX Day-Ahead Market During June, July, and August of 1998, 1999, and 2000</w:t>
      </w:r>
    </w:p>
    <w:p>
      <w:pPr>
        <w:pStyle w:val="BodyTextIndent2"/>
        <w:ind w:hanging="450" w:start="450" w:end="0"/>
        <w:rPr/>
      </w:pPr>
      <w:r>
        <w:rPr/>
        <w:t>A3. Impact of Price Spikes and Caps in the California PX Day-Ahead Market on Hypothetical 100% and 50% Load Factor Customers</w:t>
      </w:r>
    </w:p>
    <w:p>
      <w:pPr>
        <w:pStyle w:val="Normal"/>
        <w:spacing w:lineRule="auto" w:line="480"/>
        <w:ind w:hanging="450" w:start="450" w:end="0"/>
        <w:rPr/>
      </w:pPr>
      <w:r>
        <w:rPr/>
        <w:t>A4. Frequency of Price Spikes in the California ISO Real-Time Energy Market SP15</w:t>
      </w:r>
    </w:p>
    <w:p>
      <w:pPr>
        <w:pStyle w:val="Normal"/>
        <w:spacing w:lineRule="auto" w:line="480"/>
        <w:ind w:hanging="450" w:start="450" w:end="0"/>
        <w:rPr/>
      </w:pPr>
      <w:r>
        <w:rPr/>
        <w:t>A5. Frequency of Price Spikes in the California ISO Real-Time Energy Market SP15 During June, July, and August of 1998, 1999, and 2000</w:t>
      </w:r>
    </w:p>
    <w:p>
      <w:pPr>
        <w:pStyle w:val="Normal"/>
        <w:spacing w:lineRule="auto" w:line="480"/>
        <w:ind w:hanging="450" w:start="450" w:end="0"/>
        <w:rPr/>
      </w:pPr>
      <w:r>
        <w:rPr/>
        <w:t>A6. Frequency of Price Spikes in the California ISO Real-Time Energy Market NP15</w:t>
      </w:r>
    </w:p>
    <w:p>
      <w:pPr>
        <w:pStyle w:val="Normal"/>
        <w:spacing w:lineRule="auto" w:line="480"/>
        <w:ind w:hanging="450" w:start="450" w:end="0"/>
        <w:rPr/>
      </w:pPr>
      <w:r>
        <w:rPr/>
        <w:t>A7. Frequency of Price Spikes in the California ISO Real-Time Energy Market NP15 During June, July, and August of 1998, 1999, and 2000</w:t>
      </w:r>
    </w:p>
    <w:p>
      <w:pPr>
        <w:pStyle w:val="Normal"/>
        <w:spacing w:lineRule="auto" w:line="480"/>
        <w:ind w:hanging="450" w:start="450" w:end="0"/>
        <w:rPr/>
      </w:pPr>
      <w:r>
        <w:rPr/>
        <w:t>A8. Frequency of Price Spikes in the California ISO Downward Regulation Market SP15</w:t>
      </w:r>
    </w:p>
    <w:p>
      <w:pPr>
        <w:pStyle w:val="Normal"/>
        <w:spacing w:lineRule="auto" w:line="480"/>
        <w:ind w:hanging="450" w:start="450" w:end="0"/>
        <w:rPr/>
      </w:pPr>
      <w:r>
        <w:rPr/>
        <w:t>A9. Frequency of Price Spikes in the California ISO Downward Regulation Market NP15</w:t>
      </w:r>
    </w:p>
    <w:p>
      <w:pPr>
        <w:pStyle w:val="Normal"/>
        <w:spacing w:lineRule="auto" w:line="480"/>
        <w:ind w:hanging="540" w:start="540" w:end="0"/>
        <w:rPr/>
      </w:pPr>
      <w:r>
        <w:rPr/>
        <w:t>A10. Frequency of Price Spikes in the California ISO Upward Regulation Market SP15</w:t>
      </w:r>
    </w:p>
    <w:p>
      <w:pPr>
        <w:pStyle w:val="Normal"/>
        <w:spacing w:lineRule="auto" w:line="480"/>
        <w:ind w:hanging="540" w:start="540" w:end="0"/>
        <w:rPr/>
      </w:pPr>
      <w:r>
        <w:rPr/>
        <w:t>A11. Frequency of Price Spikes in the California ISO Upward Regulation Market NP15</w:t>
      </w:r>
    </w:p>
    <w:p>
      <w:pPr>
        <w:pStyle w:val="Normal"/>
        <w:spacing w:lineRule="auto" w:line="480"/>
        <w:ind w:hanging="540" w:start="540" w:end="0"/>
        <w:rPr/>
      </w:pPr>
      <w:r>
        <w:rPr/>
        <w:t>A12. Frequency of Price Spikes in the California ISO Regulation Market SP15</w:t>
      </w:r>
    </w:p>
    <w:p>
      <w:pPr>
        <w:pStyle w:val="Normal"/>
        <w:spacing w:lineRule="auto" w:line="480"/>
        <w:ind w:hanging="540" w:start="540" w:end="0"/>
        <w:rPr/>
      </w:pPr>
      <w:r>
        <w:rPr/>
        <w:t>A13. Frequency of Price Spikes in the California ISO Regulation Market NP15</w:t>
      </w:r>
    </w:p>
    <w:p>
      <w:pPr>
        <w:pStyle w:val="Footer"/>
        <w:tabs>
          <w:tab w:val="clear" w:pos="4320"/>
          <w:tab w:val="clear" w:pos="8640"/>
        </w:tabs>
        <w:spacing w:lineRule="auto" w:line="480"/>
        <w:ind w:hanging="540" w:start="540" w:end="0"/>
        <w:rPr/>
      </w:pPr>
      <w:r>
        <w:rPr/>
        <w:t>A14. Frequency of Price Spikes in the California ISO Spinning Reserve Market SP15</w:t>
      </w:r>
    </w:p>
    <w:p>
      <w:pPr>
        <w:pStyle w:val="Normal"/>
        <w:spacing w:lineRule="auto" w:line="480"/>
        <w:ind w:hanging="540" w:start="540" w:end="0"/>
        <w:rPr/>
      </w:pPr>
      <w:r>
        <w:rPr/>
        <w:t>A15. Frequency of Price Spikes in the California ISO Spinning Reserve Market NP15</w:t>
      </w:r>
    </w:p>
    <w:p>
      <w:pPr>
        <w:pStyle w:val="Normal"/>
        <w:spacing w:lineRule="auto" w:line="480"/>
        <w:ind w:hanging="540" w:start="540" w:end="0"/>
        <w:rPr/>
      </w:pPr>
      <w:r>
        <w:rPr/>
        <w:t>A16. Frequency of Price Spikes in the California ISO Generator Non-Spinning Market SP15</w:t>
      </w:r>
    </w:p>
    <w:p>
      <w:pPr>
        <w:pStyle w:val="Normal"/>
        <w:spacing w:lineRule="auto" w:line="480"/>
        <w:ind w:hanging="540" w:start="540" w:end="0"/>
        <w:rPr/>
      </w:pPr>
      <w:r>
        <w:rPr/>
        <w:t>A17. Frequency of Price Spikes in the California ISO Generator Non-Spinning Market NP15</w:t>
      </w:r>
    </w:p>
    <w:p>
      <w:pPr>
        <w:pStyle w:val="Normal"/>
        <w:spacing w:lineRule="auto" w:line="480"/>
        <w:ind w:hanging="540" w:start="540" w:end="0"/>
        <w:rPr/>
      </w:pPr>
      <w:r>
        <w:rPr/>
        <w:t>A18. Frequency of Price Spikes in the California ISO Load Non-Spinning Reserve Market SP15</w:t>
      </w:r>
    </w:p>
    <w:p>
      <w:pPr>
        <w:pStyle w:val="Normal"/>
        <w:spacing w:lineRule="auto" w:line="480"/>
        <w:ind w:hanging="540" w:start="540" w:end="0"/>
        <w:rPr/>
      </w:pPr>
      <w:r>
        <w:rPr/>
        <w:t>A19. Frequency of Price Spikes in the California ISO Load Non-Spinning Reserve Market NP15</w:t>
      </w:r>
    </w:p>
    <w:p>
      <w:pPr>
        <w:pStyle w:val="BodyTextIndent3"/>
        <w:rPr/>
      </w:pPr>
      <w:r>
        <w:rPr/>
        <w:t>A20. Frequency of Price Spikes in the California ISO Generator Replacement Reserve Market SP15</w:t>
      </w:r>
    </w:p>
    <w:p>
      <w:pPr>
        <w:pStyle w:val="BodyTextIndent3"/>
        <w:rPr/>
      </w:pPr>
      <w:r>
        <w:rPr/>
        <w:t>A21. Frequency of Price Spikes in the California ISO Generator Replacement Reserve Market NP15</w:t>
      </w:r>
    </w:p>
    <w:p>
      <w:pPr>
        <w:pStyle w:val="BodyTextIndent3"/>
        <w:rPr/>
      </w:pPr>
      <w:r>
        <w:rPr/>
        <w:t>A22. Frequency of Price Spikes in the California ISO Load Replacement Market SP15</w:t>
      </w:r>
    </w:p>
    <w:p>
      <w:pPr>
        <w:pStyle w:val="BodyTextIndent3"/>
        <w:rPr/>
      </w:pPr>
      <w:r>
        <w:rPr/>
        <w:t>A23. Frequency of Price Spikes in the California ISO Load Replacement Market NP15</w:t>
      </w:r>
    </w:p>
    <w:p>
      <w:pPr>
        <w:pStyle w:val="Normal"/>
        <w:ind w:hanging="540" w:start="540" w:end="0"/>
        <w:rPr/>
      </w:pPr>
      <w:r>
        <w:rPr/>
        <w:t>A24. Frequency of Price Spikes in the PJM Interconnection Real-Time Energy Market</w:t>
      </w:r>
    </w:p>
    <w:p>
      <w:pPr>
        <w:pStyle w:val="Normal"/>
        <w:ind w:hanging="540" w:start="540" w:end="0"/>
        <w:rPr/>
      </w:pPr>
      <w:r>
        <w:rPr/>
      </w:r>
    </w:p>
    <w:p>
      <w:pPr>
        <w:pStyle w:val="Normal"/>
        <w:spacing w:lineRule="auto" w:line="480"/>
        <w:ind w:hanging="547" w:start="547" w:end="0"/>
        <w:rPr/>
      </w:pPr>
      <w:r>
        <w:rPr/>
        <w:t>A25. Frequency of Price Spikes in the PJM Interconnection Real-Time Energy Market During June, July, and August of 1998, 1999, and 2000</w:t>
      </w:r>
    </w:p>
    <w:p>
      <w:pPr>
        <w:pStyle w:val="Normal"/>
        <w:spacing w:lineRule="auto" w:line="480"/>
        <w:ind w:hanging="547" w:start="547" w:end="0"/>
        <w:rPr/>
      </w:pPr>
      <w:r>
        <w:rPr/>
        <w:t>A26. Impact of Price Spikes in the PJM Real-Time Energy Market on Hypothetical 100% and 50% Load Factor Customers</w:t>
      </w:r>
    </w:p>
    <w:p>
      <w:pPr>
        <w:pStyle w:val="Normal"/>
        <w:spacing w:lineRule="auto" w:line="480"/>
        <w:ind w:hanging="547" w:start="547" w:end="0"/>
        <w:rPr/>
      </w:pPr>
      <w:r>
        <w:rPr/>
        <w:t>A27. Frequency of Price Spikes in the New England Day-Ahead Energy Market</w:t>
      </w:r>
    </w:p>
    <w:p>
      <w:pPr>
        <w:pStyle w:val="Normal"/>
        <w:spacing w:lineRule="auto" w:line="480"/>
        <w:ind w:hanging="547" w:start="547" w:end="0"/>
        <w:rPr/>
      </w:pPr>
      <w:r>
        <w:rPr/>
        <w:t>A28. Frequency of Price Spikes in the New England Day-Ahead Energy Market During June, July, and August of 1998, 1999, and 2000</w:t>
      </w:r>
    </w:p>
    <w:p>
      <w:pPr>
        <w:pStyle w:val="Normal"/>
        <w:spacing w:lineRule="auto" w:line="480"/>
        <w:ind w:hanging="547" w:start="547" w:end="0"/>
        <w:rPr/>
      </w:pPr>
      <w:r>
        <w:rPr/>
      </w:r>
    </w:p>
    <w:p>
      <w:pPr>
        <w:pStyle w:val="Normal"/>
        <w:spacing w:lineRule="auto" w:line="480"/>
        <w:ind w:hanging="547" w:start="547" w:end="0"/>
        <w:rPr/>
      </w:pPr>
      <w:r>
        <w:rPr/>
        <w:t>A29. Impact of Price Spikes and Caps in the New England Energy Market on Hypothetical 100% Load Factor Customers</w:t>
      </w:r>
    </w:p>
    <w:p>
      <w:pPr>
        <w:pStyle w:val="Normal"/>
        <w:spacing w:lineRule="auto" w:line="480"/>
        <w:ind w:hanging="547" w:start="547" w:end="0"/>
        <w:rPr/>
      </w:pPr>
      <w:r>
        <w:rPr/>
        <w:t>A30. Frequency of Price Spikes in the New England Ten-Minute Non-Spinning Reserve Market Before ISO-NE Revisions</w:t>
      </w:r>
    </w:p>
    <w:p>
      <w:pPr>
        <w:pStyle w:val="Normal"/>
        <w:spacing w:lineRule="auto" w:line="480"/>
        <w:ind w:hanging="547" w:start="547" w:end="0"/>
        <w:rPr/>
      </w:pPr>
      <w:r>
        <w:rPr/>
        <w:t>A31. Frequency of Price Spikes in the New England Ten-Minute Non-Spinning Reserve Market After ISO-NE Revisions</w:t>
      </w:r>
    </w:p>
    <w:p>
      <w:pPr>
        <w:pStyle w:val="Normal"/>
        <w:spacing w:lineRule="auto" w:line="480"/>
        <w:ind w:hanging="547" w:start="547" w:end="0"/>
        <w:rPr/>
      </w:pPr>
      <w:r>
        <w:rPr/>
        <w:t>A32. Frequency of Price Spikes in the New England Ten-Minute Non-Spinning Reserve Market During June, July, and August of 1998, 1999, and 2000 Before ISO-NE Revisions</w:t>
      </w:r>
    </w:p>
    <w:p>
      <w:pPr>
        <w:pStyle w:val="Normal"/>
        <w:spacing w:lineRule="auto" w:line="480"/>
        <w:ind w:hanging="547" w:start="547" w:end="0"/>
        <w:rPr/>
      </w:pPr>
      <w:r>
        <w:rPr/>
        <w:t>A33. Frequency of Price Spikes in the New England Ten-Minute Non-Spinning Reserve Market During June, July, and August of 1998, 1999, and 2000 After ISO-NE Revisions</w:t>
      </w:r>
    </w:p>
    <w:p>
      <w:pPr>
        <w:pStyle w:val="Normal"/>
        <w:spacing w:lineRule="auto" w:line="480"/>
        <w:ind w:hanging="547" w:start="547" w:end="0"/>
        <w:rPr/>
      </w:pPr>
      <w:r>
        <w:rPr/>
        <w:t>A34. Frequency of Price Spikes in the New England Thirty-Minute Operating Reserve Market Before ISO-NE Revisions</w:t>
      </w:r>
    </w:p>
    <w:p>
      <w:pPr>
        <w:pStyle w:val="Normal"/>
        <w:spacing w:lineRule="auto" w:line="480"/>
        <w:ind w:hanging="547" w:start="547" w:end="0"/>
        <w:rPr/>
      </w:pPr>
      <w:r>
        <w:rPr/>
        <w:t>A35. Frequency of Price Spikes in the New England Thirty-Minute Operating Reserve Market After ISO-NE Revisions</w:t>
      </w:r>
    </w:p>
    <w:p>
      <w:pPr>
        <w:pStyle w:val="Normal"/>
        <w:spacing w:lineRule="auto" w:line="480"/>
        <w:ind w:hanging="547" w:start="547" w:end="0"/>
        <w:rPr/>
      </w:pPr>
      <w:r>
        <w:rPr/>
        <w:t>A36. Frequency of Price Spikes in the New England Thirty-Minute Operating Reserve Market During June, July, and August of 1998, 1999, and 2000 Before ISO-NE Revisions</w:t>
      </w:r>
    </w:p>
    <w:p>
      <w:pPr>
        <w:pStyle w:val="Normal"/>
        <w:spacing w:lineRule="auto" w:line="480"/>
        <w:ind w:hanging="547" w:start="547" w:end="0"/>
        <w:rPr/>
      </w:pPr>
      <w:r>
        <w:rPr/>
        <w:t>A37. Frequency of Price Spikes in the New England Thirty-Minute Operating Reserve Market During June, July, and August of 1998, 1999, and 2000 After ISO-NE Revisions</w:t>
      </w:r>
    </w:p>
    <w:p>
      <w:pPr>
        <w:pStyle w:val="Normal"/>
        <w:spacing w:lineRule="auto" w:line="480"/>
        <w:ind w:hanging="547" w:start="547" w:end="0"/>
        <w:rPr/>
      </w:pPr>
      <w:r>
        <w:rPr/>
      </w:r>
    </w:p>
    <w:p>
      <w:pPr>
        <w:pStyle w:val="BodyTextIndent"/>
        <w:ind w:hanging="547" w:start="547" w:end="0"/>
        <w:rPr/>
      </w:pPr>
      <w:r>
        <w:rPr/>
        <w:t>A38. Frequency of Price Spikes in the New England Ten-Minute Spinning Reserve Market Before ISO-NE Revisions</w:t>
      </w:r>
    </w:p>
    <w:p>
      <w:pPr>
        <w:pStyle w:val="Normal"/>
        <w:spacing w:lineRule="auto" w:line="480"/>
        <w:ind w:hanging="547" w:start="547" w:end="0"/>
        <w:rPr/>
      </w:pPr>
      <w:r>
        <w:rPr/>
        <w:t>A39. Frequency of Price Spikes in the New England Ten-Minute Spinning Reserve Market After ISO-NE Revisions</w:t>
      </w:r>
    </w:p>
    <w:p>
      <w:pPr>
        <w:pStyle w:val="Normal"/>
        <w:spacing w:lineRule="auto" w:line="480"/>
        <w:ind w:hanging="547" w:start="547" w:end="0"/>
        <w:rPr/>
      </w:pPr>
      <w:r>
        <w:rPr/>
        <w:t>A40. Frequency of Price Spikes in the New England Ten-Minute Spinning Reserve Market During June, July, and August of 1998, 1999, and 2000 Before ISO-NE Revisions</w:t>
      </w:r>
    </w:p>
    <w:p>
      <w:pPr>
        <w:pStyle w:val="Normal"/>
        <w:spacing w:lineRule="auto" w:line="480"/>
        <w:ind w:hanging="547" w:start="547" w:end="0"/>
        <w:rPr/>
      </w:pPr>
      <w:r>
        <w:rPr/>
        <w:t>A41. Frequency of Price Spikes in the New England Ten-Minute Spinning Reserve Market During June, July, and August of 1998, 1999, and 2000 After ISO-NE Revisions</w:t>
      </w:r>
    </w:p>
    <w:p>
      <w:pPr>
        <w:pStyle w:val="Normal"/>
        <w:rPr/>
      </w:pPr>
      <w:r>
        <w:rPr/>
      </w:r>
    </w:p>
    <w:p>
      <w:pPr>
        <w:pStyle w:val="Normal"/>
        <w:rPr/>
      </w:pPr>
      <w:r>
        <w:rPr/>
      </w:r>
    </w:p>
    <w:p>
      <w:pPr>
        <w:pStyle w:val="Footer"/>
        <w:tabs>
          <w:tab w:val="clear" w:pos="4320"/>
          <w:tab w:val="clear" w:pos="8640"/>
        </w:tabs>
        <w:spacing w:lineRule="auto" w:line="480"/>
        <w:ind w:hanging="540" w:start="540" w:end="0"/>
        <w:rPr/>
      </w:pPr>
      <w:r>
        <w:rPr/>
      </w:r>
    </w:p>
    <w:sectPr>
      <w:headerReference w:type="default" r:id="rId26"/>
      <w:headerReference w:type="first" r:id="rId27"/>
      <w:footerReference w:type="default" r:id="rId28"/>
      <w:footerReference w:type="first" r:id="rId29"/>
      <w:footnotePr>
        <w:numFmt w:val="decimal"/>
      </w:footnotePr>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end"/>
      <w:rPr>
        <w:sz w:val="28"/>
      </w:rPr>
    </w:pPr>
    <w:r>
      <w:rPr>
        <w:sz w:val="28"/>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ind w:end="-540"/>
      <w:jc w:val="center"/>
      <w:rPr>
        <w:sz w:val="28"/>
      </w:rPr>
    </w:pPr>
    <w:r>
      <w:rPr>
        <w:sz w:val="28"/>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tabs>
        <w:tab w:val="clear" w:pos="8640"/>
        <w:tab w:val="center" w:pos="4320" w:leader="none"/>
      </w:tabs>
      <w:ind w:end="-540"/>
      <w:jc w:val="end"/>
      <w:rPr/>
    </w:pPr>
    <w:r>
      <w:rPr>
        <w:sz w:val="28"/>
      </w:rPr>
      <w:t>BOSTON PACIFIC COMPANY,</w:t>
    </w:r>
    <w:r>
      <w:rPr/>
      <w:t xml:space="preserve">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tabs>
        <w:tab w:val="clear" w:pos="8640"/>
        <w:tab w:val="center" w:pos="4320" w:leader="none"/>
      </w:tabs>
      <w:ind w:end="-540"/>
      <w:jc w:val="end"/>
      <w:rPr/>
    </w:pPr>
    <w:r>
      <w:rPr>
        <w:rStyle w:val="PageNumber"/>
        <w:sz w:val="28"/>
      </w:rPr>
      <w:t>BOSTON PACIFIC COMPANY,</w:t>
    </w:r>
    <w:r>
      <w:rPr>
        <w:rStyle w:val="PageNumber"/>
      </w:rPr>
      <w:t xml:space="preserve"> INC.</w:t>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Southern California Edison, Schedule TOU-8, Revised Cal. PUC Sheet No. 27062-E and San Diego Gas &amp; Electric Company, Schedule AL-TOU, Revised Cal. </w:t>
      </w:r>
      <w:r>
        <w:rPr>
          <w:lang w:val="es-ES"/>
        </w:rPr>
        <w:t>PUC Sheet No. 13509-E.</w:t>
      </w:r>
    </w:p>
  </w:footnote>
  <w:footnote w:id="3">
    <w:p>
      <w:pPr>
        <w:pStyle w:val="FootnoteText"/>
        <w:rPr/>
      </w:pPr>
      <w:r>
        <w:rPr>
          <w:rStyle w:val="FootnoteCharacters"/>
        </w:rPr>
        <w:footnoteRef/>
      </w:r>
      <w:r>
        <w:rPr/>
        <w:t xml:space="preserve"> </w:t>
      </w:r>
      <w:r>
        <w:rPr/>
        <w:t>Note that the ISO changed its format for reporting prices for regulation.  For FY00/99, prices are reported for two products: upward and downward regulation, Tables A8 through A11.  For FY99/98, a single price (the higher of the upward and downward regulation prices) was reported and that is shown in Tables A12 and A13.</w:t>
      </w:r>
    </w:p>
  </w:footnote>
  <w:footnote w:id="4">
    <w:p>
      <w:pPr>
        <w:pStyle w:val="FootnoteText"/>
        <w:rPr/>
      </w:pPr>
      <w:r>
        <w:rPr>
          <w:rStyle w:val="FootnoteCharacters"/>
        </w:rPr>
        <w:footnoteRef/>
      </w:r>
      <w:r>
        <w:rPr/>
        <w:t xml:space="preserve"> </w:t>
      </w:r>
      <w:r>
        <w:rPr/>
        <w:t>Although the market would value this call option at zero due to the price cap, the theoretical Black-Scholes model results in a nominal value.</w:t>
      </w:r>
    </w:p>
  </w:footnote>
  <w:footnote w:id="5">
    <w:p>
      <w:pPr>
        <w:pStyle w:val="FootnoteText"/>
        <w:rPr/>
      </w:pPr>
      <w:r>
        <w:rPr>
          <w:rStyle w:val="FootnoteCharacters"/>
        </w:rPr>
        <w:footnoteRef/>
      </w:r>
      <w:r>
        <w:rPr/>
        <w:t xml:space="preserve"> </w:t>
      </w:r>
      <w:r>
        <w:rPr/>
        <w:t>Anderson, Leonard.  “Power Cuts Cost Silicon Valley at Least $75 million a Day”, Reuters Financial News, June 22, 2000.</w:t>
      </w:r>
    </w:p>
  </w:footnote>
  <w:footnote w:id="6">
    <w:p>
      <w:pPr>
        <w:pStyle w:val="FootnoteText"/>
        <w:rPr/>
      </w:pPr>
      <w:r>
        <w:rPr>
          <w:rStyle w:val="FootnoteCharacters"/>
        </w:rPr>
        <w:footnoteRef/>
      </w:r>
      <w:r>
        <w:rPr/>
        <w:t xml:space="preserve"> </w:t>
      </w:r>
      <w:r>
        <w:rPr/>
        <w:t>Leopold, Jason. “Some Silicon Valley Tech Companies Work in Dark Monday”, September 18, 2000.  Dow Jones Newswire.</w:t>
      </w:r>
    </w:p>
  </w:footnote>
  <w:footnote w:id="7">
    <w:p>
      <w:pPr>
        <w:pStyle w:val="FootnoteText"/>
        <w:rPr/>
      </w:pPr>
      <w:r>
        <w:rPr>
          <w:rStyle w:val="FootnoteCharacters"/>
        </w:rPr>
        <w:footnoteRef/>
      </w:r>
      <w:r>
        <w:rPr/>
        <w:t xml:space="preserve"> </w:t>
      </w:r>
      <w:r>
        <w:rPr/>
        <w:t>ibid.</w:t>
      </w:r>
    </w:p>
  </w:footnote>
  <w:footnote w:id="8">
    <w:p>
      <w:pPr>
        <w:pStyle w:val="FootnoteText"/>
        <w:rPr/>
      </w:pPr>
      <w:r>
        <w:rPr>
          <w:rStyle w:val="FootnoteCharacters"/>
        </w:rPr>
        <w:footnoteRef/>
      </w:r>
      <w:r>
        <w:rPr/>
        <w:t xml:space="preserve"> </w:t>
      </w:r>
      <w:r>
        <w:rPr/>
        <w:t>Prepared Statement of Jeffrey D. Byron, Energy Director, Oracle Corporation for Field Hearing on Electric Utility Industry Restructuring: The California Market.  House Commerce Committee, Subcommittee on Energy &amp; Power, September 11,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p>
    <w:pPr>
      <w:pStyle w:val="Header"/>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p>
    <w:pPr>
      <w:pStyle w:val="Header"/>
      <w:jc w:val="end"/>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9/22/2000 DRAFT</w:t>
    </w:r>
  </w:p>
  <w:p>
    <w:pPr>
      <w:pStyle w:val="Header"/>
      <w:jc w:val="end"/>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upperLetter"/>
      <w:lvlText w:val="%1."/>
      <w:lvlJc w:val="start"/>
      <w:pPr>
        <w:tabs>
          <w:tab w:val="num" w:pos="1095"/>
        </w:tabs>
        <w:ind w:start="1095" w:hanging="375"/>
      </w:pPr>
      <w:rPr/>
    </w:lvl>
  </w:abstractNum>
  <w:abstractNum w:abstractNumId="7">
    <w:lvl w:ilvl="0">
      <w:start w:val="1"/>
      <w:numFmt w:val="upperLetter"/>
      <w:lvlText w:val="%1."/>
      <w:lvlJc w:val="start"/>
      <w:pPr>
        <w:tabs>
          <w:tab w:val="num" w:pos="1110"/>
        </w:tabs>
        <w:ind w:start="1110" w:hanging="390"/>
      </w:pPr>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2160"/>
        </w:tabs>
        <w:ind w:start="216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1">
    <w:lvl w:ilvl="0">
      <w:start w:val="1"/>
      <w:numFmt w:val="upperLetter"/>
      <w:lvlText w:val="%1."/>
      <w:lvlJc w:val="start"/>
      <w:pPr>
        <w:tabs>
          <w:tab w:val="num" w:pos="1095"/>
        </w:tabs>
        <w:ind w:start="1095" w:hanging="375"/>
      </w:pPr>
      <w:rPr/>
    </w:lvl>
  </w:abstractNum>
  <w:abstractNum w:abstractNumId="12">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paragraph" w:styleId="Heading2">
    <w:name w:val="heading 2"/>
    <w:basedOn w:val="Normal"/>
    <w:next w:val="Normal"/>
    <w:qFormat/>
    <w:pPr>
      <w:keepNext w:val="true"/>
      <w:numPr>
        <w:ilvl w:val="1"/>
        <w:numId w:val="1"/>
      </w:numPr>
      <w:spacing w:lineRule="auto" w:line="480"/>
      <w:ind w:hanging="0" w:start="720" w:end="0"/>
      <w:outlineLvl w:val="1"/>
    </w:pPr>
    <w:rPr>
      <w:b/>
      <w:bCs/>
    </w:rPr>
  </w:style>
  <w:style w:type="paragraph" w:styleId="Heading3">
    <w:name w:val="heading 3"/>
    <w:basedOn w:val="Normal"/>
    <w:next w:val="Normal"/>
    <w:qFormat/>
    <w:pPr>
      <w:keepNext w:val="true"/>
      <w:numPr>
        <w:ilvl w:val="2"/>
        <w:numId w:val="1"/>
      </w:numPr>
      <w:spacing w:lineRule="auto" w:line="480"/>
      <w:ind w:hanging="0" w:start="1080" w:end="0"/>
      <w:outlineLvl w:val="2"/>
    </w:pPr>
    <w:rPr>
      <w:b/>
      <w:bCs/>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Symbol" w:hAnsi="Symbol" w:cs="Symbol"/>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2">
    <w:name w:val="WW8Num19z2"/>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1080" w:end="0"/>
    </w:pPr>
    <w:rPr/>
  </w:style>
  <w:style w:type="paragraph" w:styleId="BodyTextIndent2">
    <w:name w:val="Body Text Indent 2"/>
    <w:basedOn w:val="Normal"/>
    <w:qFormat/>
    <w:pPr>
      <w:spacing w:lineRule="auto" w:line="480"/>
      <w:ind w:hanging="630" w:start="630" w:end="0"/>
    </w:pPr>
    <w:rPr/>
  </w:style>
  <w:style w:type="paragraph" w:styleId="BodyTextIndent3">
    <w:name w:val="Body Text Indent 3"/>
    <w:basedOn w:val="Normal"/>
    <w:qFormat/>
    <w:pPr>
      <w:spacing w:lineRule="auto" w:line="480"/>
      <w:ind w:hanging="540" w:start="540" w:end="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sa.org/" TargetMode="External"/><Relationship Id="rId3" Type="http://schemas.openxmlformats.org/officeDocument/2006/relationships/hyperlink" Target="http://www.bostonpacific.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2000-09-22T20:42:00Z</dcterms:created>
  <dc:creator>Craig Roach</dc:creator>
  <dc:description/>
  <dc:language>en-CA</dc:language>
  <cp:lastModifiedBy>Wendy Werner</cp:lastModifiedBy>
  <cp:lastPrinted>2000-09-22T16:20:00Z</cp:lastPrinted>
  <dcterms:modified xsi:type="dcterms:W3CDTF">2000-09-22T20:42:00Z</dcterms:modified>
  <cp:revision>3</cp:revision>
  <dc:subject/>
  <dc:title>KEY POINTS OUTLINE FOR EPSA PRICE 2 REPORT</dc:title>
</cp:coreProperties>
</file>