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u w:val="single"/>
        </w:rPr>
      </w:pPr>
      <w:r>
        <w:rPr>
          <w:b/>
          <w:sz w:val="28"/>
          <w:u w:val="single"/>
        </w:rPr>
        <w:t>Kendal Square Research Case 8-2</w:t>
      </w:r>
    </w:p>
    <w:p>
      <w:pPr>
        <w:pStyle w:val="Normal"/>
        <w:rPr>
          <w:b/>
          <w:sz w:val="24"/>
          <w:u w:val="single"/>
        </w:rPr>
      </w:pPr>
      <w:r>
        <w:rPr>
          <w:b/>
          <w:sz w:val="24"/>
          <w:u w:val="single"/>
        </w:rPr>
      </w:r>
    </w:p>
    <w:p>
      <w:pPr>
        <w:pStyle w:val="Normal"/>
        <w:rPr>
          <w:i/>
          <w:i/>
          <w:sz w:val="24"/>
        </w:rPr>
      </w:pPr>
      <w:r>
        <w:rPr>
          <w:i/>
          <w:sz w:val="24"/>
        </w:rPr>
        <w:t>Q1</w:t>
        <w:tab/>
        <w:t>Evaluate the revenue recognition policies at Kendal Square Research.  Do they conform to generally accepted accounting principles with respect to:</w:t>
      </w:r>
    </w:p>
    <w:p>
      <w:pPr>
        <w:pStyle w:val="Normal"/>
        <w:numPr>
          <w:ilvl w:val="0"/>
          <w:numId w:val="3"/>
        </w:numPr>
        <w:rPr>
          <w:i/>
          <w:i/>
          <w:sz w:val="24"/>
        </w:rPr>
      </w:pPr>
      <w:r>
        <w:rPr>
          <w:i/>
          <w:sz w:val="24"/>
        </w:rPr>
        <w:t>The timing of revenue recognition</w:t>
      </w:r>
    </w:p>
    <w:p>
      <w:pPr>
        <w:pStyle w:val="Normal"/>
        <w:numPr>
          <w:ilvl w:val="0"/>
          <w:numId w:val="3"/>
        </w:numPr>
        <w:rPr>
          <w:i/>
          <w:i/>
          <w:sz w:val="24"/>
        </w:rPr>
      </w:pPr>
      <w:r>
        <w:rPr>
          <w:i/>
          <w:sz w:val="24"/>
        </w:rPr>
        <w:t>The amount of revenue recognized</w:t>
      </w:r>
    </w:p>
    <w:p>
      <w:pPr>
        <w:pStyle w:val="Normal"/>
        <w:numPr>
          <w:ilvl w:val="0"/>
          <w:numId w:val="3"/>
        </w:numPr>
        <w:rPr>
          <w:i/>
          <w:i/>
          <w:sz w:val="24"/>
        </w:rPr>
      </w:pPr>
      <w:r>
        <w:rPr>
          <w:i/>
          <w:sz w:val="24"/>
        </w:rPr>
        <w:t>The matching of costs and expenses to revenue</w:t>
      </w:r>
    </w:p>
    <w:p>
      <w:pPr>
        <w:pStyle w:val="Heading2"/>
        <w:ind w:hanging="0" w:start="0"/>
        <w:rPr>
          <w:rFonts w:ascii="Times New Roman" w:hAnsi="Times New Roman" w:cs="Times New Roman"/>
        </w:rPr>
      </w:pPr>
      <w:r>
        <w:rPr>
          <w:rFonts w:cs="Times New Roman" w:ascii="Times New Roman" w:hAnsi="Times New Roman"/>
        </w:rPr>
        <w:t>Revenue recognition overview</w:t>
      </w:r>
    </w:p>
    <w:p>
      <w:pPr>
        <w:pStyle w:val="Normal"/>
        <w:rPr/>
      </w:pPr>
      <w:r>
        <w:rPr>
          <w:sz w:val="24"/>
        </w:rPr>
        <w:t xml:space="preserve">According to Concept Statement 6 (page 287, </w:t>
      </w:r>
      <w:r>
        <w:rPr>
          <w:i/>
          <w:sz w:val="24"/>
        </w:rPr>
        <w:t>Hawkins</w:t>
      </w:r>
      <w:r>
        <w:rPr>
          <w:sz w:val="24"/>
        </w:rPr>
        <w:t>)</w:t>
      </w:r>
    </w:p>
    <w:p>
      <w:pPr>
        <w:pStyle w:val="Normal"/>
        <w:rPr>
          <w:sz w:val="24"/>
        </w:rPr>
      </w:pPr>
      <w:r>
        <w:rPr>
          <w:sz w:val="24"/>
        </w:rPr>
        <w:t>Revenue is defined as: Inflows or other enhancements of assets of an entity or settlements of its liabilities (or combination of both) from delivering or producing goods, rendering services or other activities that constitute the entity's ongoing major or central operations.</w:t>
      </w:r>
    </w:p>
    <w:p>
      <w:pPr>
        <w:pStyle w:val="Normal"/>
        <w:rPr>
          <w:sz w:val="24"/>
        </w:rPr>
      </w:pPr>
      <w:r>
        <w:rPr>
          <w:sz w:val="24"/>
        </w:rPr>
        <w:t>Two conditions must be met before revenue can be recognized:</w:t>
      </w:r>
    </w:p>
    <w:p>
      <w:pPr>
        <w:pStyle w:val="Normal"/>
        <w:numPr>
          <w:ilvl w:val="0"/>
          <w:numId w:val="2"/>
        </w:numPr>
        <w:rPr>
          <w:sz w:val="24"/>
        </w:rPr>
      </w:pPr>
      <w:r>
        <w:rPr>
          <w:sz w:val="24"/>
        </w:rPr>
        <w:t>realized or realizable</w:t>
      </w:r>
    </w:p>
    <w:p>
      <w:pPr>
        <w:pStyle w:val="Normal"/>
        <w:numPr>
          <w:ilvl w:val="0"/>
          <w:numId w:val="2"/>
        </w:numPr>
        <w:rPr>
          <w:sz w:val="24"/>
        </w:rPr>
      </w:pPr>
      <w:r>
        <w:rPr>
          <w:sz w:val="24"/>
        </w:rPr>
        <w:t>earned</w:t>
      </w:r>
    </w:p>
    <w:p>
      <w:pPr>
        <w:pStyle w:val="Normal"/>
        <w:rPr>
          <w:sz w:val="24"/>
        </w:rPr>
      </w:pPr>
      <w:r>
        <w:rPr>
          <w:sz w:val="24"/>
        </w:rPr>
      </w:r>
    </w:p>
    <w:p>
      <w:pPr>
        <w:pStyle w:val="Normal"/>
        <w:rPr>
          <w:sz w:val="24"/>
        </w:rPr>
      </w:pPr>
      <w:r>
        <w:rPr>
          <w:sz w:val="24"/>
        </w:rPr>
        <w:t xml:space="preserve">Revenues are realizable when products, merchandise or other assets are exchanged for or claims to cash. In general, revenue is typically recognized when the event that reduces the risk of ultimately receiving a determinable amount of revenue is reduced to a minimum level considered prudent by those issuing and using financial statements.  </w:t>
      </w:r>
    </w:p>
    <w:p>
      <w:pPr>
        <w:pStyle w:val="Normal"/>
        <w:rPr>
          <w:sz w:val="24"/>
        </w:rPr>
      </w:pPr>
      <w:r>
        <w:rPr>
          <w:sz w:val="24"/>
        </w:rPr>
      </w:r>
    </w:p>
    <w:p>
      <w:pPr>
        <w:pStyle w:val="Heading2"/>
        <w:ind w:hanging="0" w:start="0"/>
        <w:rPr>
          <w:rFonts w:ascii="Times New Roman" w:hAnsi="Times New Roman" w:cs="Times New Roman"/>
        </w:rPr>
      </w:pPr>
      <w:r>
        <w:rPr>
          <w:rFonts w:cs="Times New Roman" w:ascii="Times New Roman" w:hAnsi="Times New Roman"/>
        </w:rPr>
        <w:t>Kendal Square Research Revenue Recognition: timing, matching and amount</w:t>
      </w:r>
    </w:p>
    <w:p>
      <w:pPr>
        <w:pStyle w:val="Normal"/>
        <w:rPr>
          <w:sz w:val="24"/>
        </w:rPr>
      </w:pPr>
      <w:r>
        <w:rPr>
          <w:sz w:val="24"/>
        </w:rPr>
        <w:t>According to exhibit 1, page 217, revenue is recognized upon written customer acceptance.  This leaves the company open to significant risk because the majority of the payment is not received at this time.  According to the statement of cash flows, only $8.53 million in cash was received from customers in 1992, yet  $20.73 million was recognized as revenue.</w:t>
      </w:r>
    </w:p>
    <w:p>
      <w:pPr>
        <w:pStyle w:val="Normal"/>
        <w:rPr>
          <w:sz w:val="24"/>
        </w:rPr>
      </w:pPr>
      <w:r>
        <w:rPr>
          <w:sz w:val="24"/>
        </w:rPr>
      </w:r>
    </w:p>
    <w:p>
      <w:pPr>
        <w:pStyle w:val="Normal"/>
        <w:rPr>
          <w:sz w:val="24"/>
        </w:rPr>
      </w:pPr>
      <w:r>
        <w:rPr>
          <w:sz w:val="24"/>
        </w:rPr>
        <w:t xml:space="preserve">Kendal's customer base relies heavily on the research community whose cash flow is highly volatile.  This is due to their source of funding, which consists primarily of government grants.  These grants can take over a year to process and are subject to changes in the economy, the political environment and shifting focus on research efforts.  For example, during a recession, the government is likely to cut back on research spending.  Due to the risk involved in receiving a determinable amount of revenue, Kendal's current revenue recognition policy is too aggressive and does not reflect actual performance of the company.  </w:t>
      </w:r>
    </w:p>
    <w:p>
      <w:pPr>
        <w:pStyle w:val="Normal"/>
        <w:rPr>
          <w:sz w:val="24"/>
        </w:rPr>
      </w:pPr>
      <w:r>
        <w:rPr>
          <w:sz w:val="24"/>
        </w:rPr>
      </w:r>
    </w:p>
    <w:p>
      <w:pPr>
        <w:pStyle w:val="Normal"/>
        <w:rPr>
          <w:sz w:val="24"/>
        </w:rPr>
      </w:pPr>
      <w:r>
        <w:rPr>
          <w:sz w:val="24"/>
        </w:rPr>
        <w:t xml:space="preserve">According to the matching principle, efforts of a given period should be matched against the benefits that result from them. </w:t>
      </w:r>
    </w:p>
    <w:p>
      <w:pPr>
        <w:pStyle w:val="Normal"/>
        <w:rPr>
          <w:sz w:val="24"/>
        </w:rPr>
      </w:pPr>
      <w:r>
        <w:rPr>
          <w:sz w:val="24"/>
        </w:rPr>
      </w:r>
    </w:p>
    <w:p>
      <w:pPr>
        <w:pStyle w:val="BodyText"/>
        <w:rPr/>
      </w:pPr>
      <w:r>
        <w:rPr/>
        <w:t>As mentioned, revenue is recognized upon written customer acceptance of the equipment.  In terms of matching, some of the cost of producing the product has yet to be incurred by the time the customer accepts the product.  According to exhibit 1, page 209, the cost of revenue includes actual material, labor and indirect costs associated with the manufacture of systems for which revenue was recognized. One potential matching problem arises from Kendal’s practice of booking revenues prior to having finalized the configuration of the processors.  The case does not provide information regarding the time and/or expenses required to finalize the configuration.  If considerable time and expense are required, then Kendal’s recognition policy could significantly violate GAAP rules governing matching.</w:t>
      </w:r>
    </w:p>
    <w:p>
      <w:pPr>
        <w:pStyle w:val="Normal"/>
        <w:rPr>
          <w:sz w:val="24"/>
        </w:rPr>
      </w:pPr>
      <w:r>
        <w:rPr>
          <w:sz w:val="24"/>
        </w:rPr>
      </w:r>
    </w:p>
    <w:p>
      <w:pPr>
        <w:pStyle w:val="Normal"/>
        <w:rPr>
          <w:sz w:val="24"/>
        </w:rPr>
      </w:pPr>
      <w:r>
        <w:rPr>
          <w:sz w:val="24"/>
        </w:rPr>
        <w:t>Software development costs are capitalized which is standard for Kendal's industry and has the effect of amortizing the cost of development over the product's revenue-generating lifecycle.  In order to further this analysis it would be helpful to examine the type of software being developed to determine its useful life in Kendall’s business operations.</w:t>
      </w:r>
    </w:p>
    <w:p>
      <w:pPr>
        <w:pStyle w:val="Normal"/>
        <w:rPr>
          <w:sz w:val="24"/>
        </w:rPr>
      </w:pPr>
      <w:r>
        <w:rPr>
          <w:sz w:val="24"/>
        </w:rPr>
      </w:r>
    </w:p>
    <w:p>
      <w:pPr>
        <w:pStyle w:val="BodyText"/>
        <w:rPr/>
      </w:pPr>
      <w:r>
        <w:rPr/>
        <w:t xml:space="preserve">Although most of the cost is incurred in the period the revenue is recognized (except some configuration cost), the collection of the full payment does not occur in the same period.  This is an example of poor timing.  Payment or reasonable assurance of the collection of payment is an important part revenue recognition. </w:t>
      </w:r>
    </w:p>
    <w:p>
      <w:pPr>
        <w:pStyle w:val="BodyText"/>
        <w:rPr/>
      </w:pPr>
      <w:r>
        <w:rPr/>
      </w:r>
    </w:p>
    <w:p>
      <w:pPr>
        <w:pStyle w:val="BodyText"/>
        <w:rPr/>
      </w:pPr>
      <w:r>
        <w:rPr/>
        <w:t>For example, Kendal cut a deal that permitted a customer to cancel a $1.5 million contract if the comany did not complete the second of two phases of the deal.  In this case, Kendal should not book $1.5 million as sales in the current period.  If the two-phase structure of the deal constitutes a long-term contract, the percentage-of-completion method might be more appropriate.</w:t>
      </w:r>
    </w:p>
    <w:p>
      <w:pPr>
        <w:pStyle w:val="Normal"/>
        <w:rPr>
          <w:sz w:val="24"/>
        </w:rPr>
      </w:pPr>
      <w:r>
        <w:rPr>
          <w:sz w:val="24"/>
        </w:rPr>
      </w:r>
    </w:p>
    <w:p>
      <w:pPr>
        <w:pStyle w:val="Normal"/>
        <w:rPr>
          <w:sz w:val="24"/>
        </w:rPr>
      </w:pPr>
      <w:r>
        <w:rPr>
          <w:sz w:val="24"/>
        </w:rPr>
        <w:t>In addition, FASB No. 48 (Revenue Recognition When Right of Return Exists) dictates that products sold with a right-to-return privilege should only be recorded as sales when accompanied by an estimate of expected returns or losses and when a series of conditions are met.  One of those conditions is “The buyer has paid the seller, or the buyer is obligated to pay the seller and the obligation is not contingent on resale of the product.”  Yet Kendal recognizes as sales shipments to distributors who can cancel the contract if the distributor can’t find a customer.</w:t>
      </w:r>
    </w:p>
    <w:p>
      <w:pPr>
        <w:pStyle w:val="Normal"/>
        <w:rPr>
          <w:sz w:val="24"/>
        </w:rPr>
      </w:pPr>
      <w:r>
        <w:rPr>
          <w:sz w:val="24"/>
        </w:rPr>
      </w:r>
    </w:p>
    <w:p>
      <w:pPr>
        <w:pStyle w:val="Normal"/>
        <w:rPr>
          <w:sz w:val="24"/>
        </w:rPr>
      </w:pPr>
      <w:r>
        <w:rPr>
          <w:sz w:val="24"/>
        </w:rPr>
        <w:t xml:space="preserve">Finally, FASB No. 48 would also suggest that KSR should not recognize as sales those deals in which the customer receives what amounts to a loan for 50% of the purchase price of the processors.  In these cases, 50% of the purchase price is treated as a loan against future grant awards, but KRS treats the entire shipment as a sale. </w:t>
      </w:r>
    </w:p>
    <w:p>
      <w:pPr>
        <w:pStyle w:val="Normal"/>
        <w:rPr>
          <w:sz w:val="24"/>
        </w:rPr>
      </w:pPr>
      <w:r>
        <w:rPr>
          <w:sz w:val="24"/>
        </w:rPr>
      </w:r>
    </w:p>
    <w:p>
      <w:pPr>
        <w:pStyle w:val="Normal"/>
        <w:numPr>
          <w:ilvl w:val="0"/>
          <w:numId w:val="4"/>
        </w:numPr>
        <w:rPr>
          <w:i/>
          <w:i/>
          <w:sz w:val="24"/>
        </w:rPr>
      </w:pPr>
      <w:r>
        <w:rPr>
          <w:i/>
          <w:sz w:val="24"/>
        </w:rPr>
        <w:t>The rapid growth in sales expected by Kendall Square Research managers will strain the company’s ability to finance their expansion.  How, if at all, should this fact affect the ways in which management chooses accounting principles and a reporting strategy?</w:t>
      </w:r>
    </w:p>
    <w:p>
      <w:pPr>
        <w:pStyle w:val="Normal"/>
        <w:rPr>
          <w:i/>
          <w:i/>
          <w:sz w:val="24"/>
        </w:rPr>
      </w:pPr>
      <w:r>
        <w:rPr>
          <w:i/>
          <w:sz w:val="24"/>
        </w:rPr>
      </w:r>
    </w:p>
    <w:p>
      <w:pPr>
        <w:pStyle w:val="BodyText"/>
        <w:rPr/>
      </w:pPr>
      <w:r>
        <w:rPr/>
        <w:t xml:space="preserve">Kendall Square Research managers are using a marginal credit technique to enhance computer sales.  The company is aggressively accepting credit without collateral in an attempt to grow revenue.  The net effect is their revenues increased $19.8M, while accounts receivable increased by  $12.5M from 1991 to 1992.  This indicates that 63% of the increase in revenues is recorded in accounts receivable.  As discussed, Kendall cannot arrive at a reasonable estimation as to when these receivables will provide cash.  </w:t>
      </w:r>
    </w:p>
    <w:p>
      <w:pPr>
        <w:pStyle w:val="Normal"/>
        <w:rPr>
          <w:sz w:val="24"/>
        </w:rPr>
      </w:pPr>
      <w:r>
        <w:rPr>
          <w:sz w:val="24"/>
        </w:rPr>
      </w:r>
    </w:p>
    <w:p>
      <w:pPr>
        <w:pStyle w:val="Normal"/>
        <w:rPr>
          <w:sz w:val="24"/>
        </w:rPr>
      </w:pPr>
      <w:r>
        <w:rPr>
          <w:sz w:val="24"/>
        </w:rPr>
        <w:t xml:space="preserve">The income statement and the cash flow statement for this company resembles a tale of two cities.  The income statement shows strong continuous growth.  This is made possible by propping up revenues with an aggressive revenue recognition policy and marginal sales on credit.  Expenses are lowered by capitalizing research costs and use of the straight line depreciation technique.  This gives the impression that income from operations is growing rapidly.  Additionally, Kendall converted a significant portion of its debt to stock in 1992 thereby reducing its interest expense in 1992 below the 1991 levels.  </w:t>
      </w:r>
    </w:p>
    <w:p>
      <w:pPr>
        <w:pStyle w:val="Normal"/>
        <w:rPr>
          <w:sz w:val="24"/>
        </w:rPr>
      </w:pPr>
      <w:r>
        <w:rPr>
          <w:sz w:val="24"/>
        </w:rPr>
      </w:r>
    </w:p>
    <w:p>
      <w:pPr>
        <w:pStyle w:val="Normal"/>
        <w:rPr>
          <w:sz w:val="24"/>
        </w:rPr>
      </w:pPr>
      <w:r>
        <w:rPr>
          <w:sz w:val="24"/>
        </w:rPr>
        <w:t>The cash flow statement paints a different picture.  The Kendall Research operations division is net user of cash.  Their cash equivalent from the end of 1991 to the end of 1992 only increased $3.4M even though they raised $44M in cash from a public offering of stock.  Kendall also raised an additional $681,000 from interest provided by short-term investing of proceeds from their initial public offering.  With the continued use of cash, this source revenue cannot continue in the future.  They will struggle to stay cash solvent if they change their growth strategy or at least their credit policy.</w:t>
      </w:r>
    </w:p>
    <w:p>
      <w:pPr>
        <w:pStyle w:val="Normal"/>
        <w:rPr>
          <w:sz w:val="24"/>
        </w:rPr>
      </w:pPr>
      <w:r>
        <w:rPr>
          <w:sz w:val="24"/>
        </w:rPr>
      </w:r>
    </w:p>
    <w:p>
      <w:pPr>
        <w:pStyle w:val="BodyText"/>
        <w:rPr/>
      </w:pPr>
      <w:r>
        <w:rPr/>
        <w:t>This need for cash can only be met through further public offering of stock or by debt sales through the bond market.  The company's current accounting practices result in poor earnings quality.  This will make the interest rate for bond financing high for Kendal.  Their best bet is to sell more stock for financing, further diluting its base and reducing its EPS.  This, however, is not a sustainable strategy.  The company needs to balance growth at a pace that will allow it to remain cash solvent without extending large amounts of credit to customers or raising money through financing.  The company does not have the cash necessary to cover the risk of bad revenue debt.  Its current focus on sales to research institutions that require grants for purchases, cannot sustain the company for long.</w:t>
      </w:r>
    </w:p>
    <w:p>
      <w:pPr>
        <w:pStyle w:val="Normal"/>
        <w:rPr>
          <w:sz w:val="24"/>
        </w:rPr>
      </w:pPr>
      <w:r>
        <w:rPr>
          <w:sz w:val="24"/>
        </w:rPr>
      </w:r>
    </w:p>
    <w:p>
      <w:pPr>
        <w:pStyle w:val="Normal"/>
        <w:rPr>
          <w:sz w:val="24"/>
        </w:rPr>
      </w:pPr>
      <w:r>
        <w:rPr>
          <w:sz w:val="24"/>
        </w:rPr>
        <w:t xml:space="preserve">If Kendall Research increased the quality of their earning through more conservative accounting policies it might improve the company's ability to sell bonds at a lower interest rate.  This may not be the case since their earnings would drop dramatically.  Bottom line is: accounting practices and reporting strategies will not improve the company’s ability to grow, it must change their business strategy to improve the quality of earnings (tighten credit).  Cash flow limitations will force them to change their ways.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6480" w:end="0"/>
      <w:rPr/>
    </w:pPr>
    <w:r>
      <w:rPr/>
      <w:t>Jeff Dasovich</w:t>
    </w:r>
  </w:p>
  <w:p>
    <w:pPr>
      <w:pStyle w:val="Header"/>
      <w:ind w:start="6480" w:end="0"/>
      <w:rPr/>
    </w:pPr>
    <w:r>
      <w:rPr/>
      <w:t xml:space="preserve">Dylan Windham </w:t>
    </w:r>
  </w:p>
  <w:p>
    <w:pPr>
      <w:pStyle w:val="Header"/>
      <w:ind w:start="6480" w:end="0"/>
      <w:rPr/>
    </w:pPr>
    <w:r>
      <w:rPr/>
      <w:t>Jimmy Jackson</w:t>
    </w:r>
  </w:p>
  <w:p>
    <w:pPr>
      <w:pStyle w:val="Header"/>
      <w:ind w:start="6480" w:end="0"/>
      <w:rPr/>
    </w:pPr>
    <w:r>
      <w:rPr/>
      <w:t>Kimberly Kupiecki</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2"/>
      <w:numFmt w:val="decimal"/>
      <w:lvlText w:val="%1."/>
      <w:lvlJc w:val="start"/>
      <w:pPr>
        <w:tabs>
          <w:tab w:val="num" w:pos="360"/>
        </w:tabs>
        <w:ind w:start="360" w:hanging="360"/>
      </w:pPr>
      <w:rPr>
        <w:i w:val="fals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style>
  <w:style w:type="character" w:styleId="WW8Num3z0">
    <w:name w:val="WW8Num3z0"/>
    <w:qFormat/>
    <w:rPr>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2000-09-25T03:15:00Z</dcterms:created>
  <dc:creator>Compaq</dc:creator>
  <dc:description/>
  <dc:language>en-CA</dc:language>
  <cp:lastModifiedBy>Kimberly Kupiecki</cp:lastModifiedBy>
  <dcterms:modified xsi:type="dcterms:W3CDTF">2000-09-25T03:15:00Z</dcterms:modified>
  <cp:revision>2</cp:revision>
  <dc:subject/>
  <dc:title>2</dc:title>
</cp:coreProperties>
</file>