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sz w:val="20"/>
        </w:rPr>
      </w:pPr>
      <w:r>
        <w:rPr>
          <w:rFonts w:cs="Times New Roman" w:ascii="Times New Roman" w:hAnsi="Times New Roman"/>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p>
    <w:p>
      <w:pPr>
        <w:pStyle w:val="Normal"/>
        <w:rPr>
          <w:rFonts w:ascii="Times New Roman" w:hAnsi="Times New Roman" w:cs="Times New Roman"/>
          <w:b/>
          <w:sz w:val="16"/>
        </w:rPr>
      </w:pPr>
      <w:r>
        <w:rPr>
          <w:rFonts w:cs="Times New Roman"/>
          <w:b/>
          <w:sz w:val="16"/>
        </w:rPr>
      </w:r>
    </w:p>
    <w:p>
      <w:pPr>
        <w:pStyle w:val="Normal"/>
        <w:rPr>
          <w:b/>
          <w:sz w:val="32"/>
          <w:u w:val="single"/>
        </w:rPr>
      </w:pPr>
      <w:r>
        <w:rPr>
          <w:b/>
          <w:sz w:val="16"/>
        </w:rPr>
        <w:t>Endless Possibilities</w:t>
        <w:tab/>
        <w:tab/>
        <w:tab/>
        <w:tab/>
        <w:tab/>
        <w:tab/>
        <w:tab/>
      </w:r>
    </w:p>
    <w:p>
      <w:pPr>
        <w:pStyle w:val="Normal"/>
        <w:ind w:start="6390" w:end="0"/>
        <w:rPr>
          <w:b/>
          <w:sz w:val="32"/>
          <w:u w:val="single"/>
        </w:rPr>
      </w:pPr>
      <w:r>
        <w:rPr>
          <w:b/>
          <w:sz w:val="32"/>
          <w:u w:val="single"/>
        </w:rPr>
      </w:r>
    </w:p>
    <w:tbl>
      <w:tblPr>
        <w:tblW w:w="9828" w:type="dxa"/>
        <w:jc w:val="start"/>
        <w:tblInd w:w="0" w:type="dxa"/>
        <w:tblLayout w:type="fixed"/>
        <w:tblCellMar>
          <w:top w:w="0" w:type="dxa"/>
          <w:start w:w="108" w:type="dxa"/>
          <w:bottom w:w="0" w:type="dxa"/>
          <w:end w:w="108" w:type="dxa"/>
        </w:tblCellMar>
      </w:tblPr>
      <w:tblGrid>
        <w:gridCol w:w="1569"/>
        <w:gridCol w:w="3762"/>
        <w:gridCol w:w="1887"/>
        <w:gridCol w:w="261"/>
        <w:gridCol w:w="2169"/>
        <w:gridCol w:w="180"/>
      </w:tblGrid>
      <w:tr>
        <w:trPr/>
        <w:tc>
          <w:tcPr>
            <w:tcW w:w="1569" w:type="dxa"/>
            <w:tcBorders/>
          </w:tcPr>
          <w:p>
            <w:pPr>
              <w:pStyle w:val="Normal"/>
              <w:rPr>
                <w:b/>
              </w:rPr>
            </w:pPr>
            <w:r>
              <w:rPr>
                <w:b/>
              </w:rPr>
              <w:t>TO:</w:t>
            </w:r>
          </w:p>
        </w:tc>
        <w:tc>
          <w:tcPr>
            <w:tcW w:w="3762" w:type="dxa"/>
            <w:tcBorders/>
          </w:tcPr>
          <w:p>
            <w:pPr>
              <w:pStyle w:val="Normal"/>
              <w:rPr/>
            </w:pPr>
            <w:r>
              <w:rPr/>
              <w:t>Raj Vaswani</w:t>
            </w:r>
          </w:p>
          <w:p>
            <w:pPr>
              <w:pStyle w:val="Normal"/>
              <w:rPr/>
            </w:pPr>
            <w:r>
              <w:rPr/>
              <w:t>Kiodex, Inc.</w:t>
            </w:r>
          </w:p>
          <w:p>
            <w:pPr>
              <w:pStyle w:val="Normal"/>
              <w:rPr/>
            </w:pPr>
            <w:r>
              <w:rPr/>
            </w:r>
          </w:p>
        </w:tc>
        <w:tc>
          <w:tcPr>
            <w:tcW w:w="2148" w:type="dxa"/>
            <w:gridSpan w:val="2"/>
            <w:tcBorders/>
          </w:tcPr>
          <w:p>
            <w:pPr>
              <w:pStyle w:val="Normal"/>
              <w:snapToGrid w:val="false"/>
              <w:rPr/>
            </w:pPr>
            <w:r>
              <w:rPr/>
            </w:r>
          </w:p>
        </w:tc>
        <w:tc>
          <w:tcPr>
            <w:tcW w:w="2169" w:type="dxa"/>
            <w:tcBorders/>
          </w:tcPr>
          <w:p>
            <w:pPr>
              <w:pStyle w:val="Normal"/>
              <w:snapToGrid w:val="false"/>
              <w:rPr/>
            </w:pPr>
            <w:r>
              <w:rPr/>
            </w:r>
          </w:p>
        </w:tc>
        <w:tc>
          <w:tcPr>
            <w:tcW w:w="180" w:type="dxa"/>
            <w:tcBorders/>
            <w:tcMar>
              <w:start w:w="0" w:type="dxa"/>
              <w:end w:w="0" w:type="dxa"/>
            </w:tcMar>
          </w:tcPr>
          <w:p>
            <w:pPr>
              <w:pStyle w:val="Normal"/>
              <w:snapToGrid w:val="false"/>
              <w:rPr/>
            </w:pPr>
            <w:r>
              <w:rPr/>
            </w:r>
          </w:p>
        </w:tc>
      </w:tr>
      <w:tr>
        <w:trPr/>
        <w:tc>
          <w:tcPr>
            <w:tcW w:w="1569" w:type="dxa"/>
            <w:tcBorders/>
          </w:tcPr>
          <w:p>
            <w:pPr>
              <w:pStyle w:val="Normal"/>
              <w:rPr>
                <w:b/>
              </w:rPr>
            </w:pPr>
            <w:r>
              <w:rPr>
                <w:b/>
              </w:rPr>
              <w:t>FROM:</w:t>
            </w:r>
          </w:p>
        </w:tc>
        <w:tc>
          <w:tcPr>
            <w:tcW w:w="3762" w:type="dxa"/>
            <w:tcBorders/>
          </w:tcPr>
          <w:p>
            <w:pPr>
              <w:pStyle w:val="Normal"/>
              <w:rPr/>
            </w:pPr>
            <w:r>
              <w:rPr/>
              <w:t>Travis McCullough</w:t>
            </w:r>
          </w:p>
        </w:tc>
        <w:tc>
          <w:tcPr>
            <w:tcW w:w="2148" w:type="dxa"/>
            <w:gridSpan w:val="2"/>
            <w:tcBorders/>
          </w:tcPr>
          <w:p>
            <w:pPr>
              <w:pStyle w:val="Normal"/>
              <w:rPr>
                <w:b/>
              </w:rPr>
            </w:pPr>
            <w:r>
              <w:rPr>
                <w:b/>
              </w:rPr>
              <w:t>DEPARTMENT:</w:t>
            </w:r>
          </w:p>
        </w:tc>
        <w:tc>
          <w:tcPr>
            <w:tcW w:w="2169" w:type="dxa"/>
            <w:tcBorders/>
          </w:tcPr>
          <w:p>
            <w:pPr>
              <w:pStyle w:val="Normal"/>
              <w:rPr/>
            </w:pPr>
            <w:r>
              <w:rPr/>
              <w:t>ENA Legal</w:t>
            </w:r>
          </w:p>
        </w:tc>
        <w:tc>
          <w:tcPr>
            <w:tcW w:w="180" w:type="dxa"/>
            <w:tcBorders/>
            <w:tcMar>
              <w:start w:w="0" w:type="dxa"/>
              <w:end w:w="0" w:type="dxa"/>
            </w:tcMar>
          </w:tcPr>
          <w:p>
            <w:pPr>
              <w:pStyle w:val="Normal"/>
              <w:snapToGrid w:val="false"/>
              <w:rPr/>
            </w:pPr>
            <w:r>
              <w:rPr/>
            </w:r>
          </w:p>
        </w:tc>
      </w:tr>
      <w:tr>
        <w:trPr/>
        <w:tc>
          <w:tcPr>
            <w:tcW w:w="1569" w:type="dxa"/>
            <w:tcBorders/>
          </w:tcPr>
          <w:p>
            <w:pPr>
              <w:pStyle w:val="Normal"/>
              <w:snapToGrid w:val="false"/>
              <w:rPr>
                <w:b/>
              </w:rPr>
            </w:pPr>
            <w:r>
              <w:rPr>
                <w:b/>
              </w:rPr>
            </w:r>
          </w:p>
        </w:tc>
        <w:tc>
          <w:tcPr>
            <w:tcW w:w="3762" w:type="dxa"/>
            <w:tcBorders/>
          </w:tcPr>
          <w:p>
            <w:pPr>
              <w:pStyle w:val="Normal"/>
              <w:snapToGrid w:val="false"/>
              <w:rPr>
                <w:b/>
              </w:rPr>
            </w:pPr>
            <w:r>
              <w:rPr>
                <w:b/>
              </w:rPr>
            </w:r>
          </w:p>
        </w:tc>
        <w:tc>
          <w:tcPr>
            <w:tcW w:w="2148" w:type="dxa"/>
            <w:gridSpan w:val="2"/>
            <w:tcBorders/>
          </w:tcPr>
          <w:p>
            <w:pPr>
              <w:pStyle w:val="Normal"/>
              <w:snapToGrid w:val="false"/>
              <w:rPr>
                <w:b/>
              </w:rPr>
            </w:pPr>
            <w:r>
              <w:rPr>
                <w:b/>
              </w:rPr>
            </w:r>
          </w:p>
        </w:tc>
        <w:tc>
          <w:tcPr>
            <w:tcW w:w="2169" w:type="dxa"/>
            <w:tcBorders/>
          </w:tcPr>
          <w:p>
            <w:pPr>
              <w:pStyle w:val="Normal"/>
              <w:snapToGrid w:val="false"/>
              <w:rPr>
                <w:b/>
              </w:rPr>
            </w:pPr>
            <w:r>
              <w:rPr>
                <w:b/>
              </w:rPr>
            </w:r>
          </w:p>
        </w:tc>
        <w:tc>
          <w:tcPr>
            <w:tcW w:w="180" w:type="dxa"/>
            <w:tcBorders/>
            <w:tcMar>
              <w:start w:w="0" w:type="dxa"/>
              <w:end w:w="0" w:type="dxa"/>
            </w:tcMar>
          </w:tcPr>
          <w:p>
            <w:pPr>
              <w:pStyle w:val="Normal"/>
              <w:snapToGrid w:val="false"/>
              <w:rPr/>
            </w:pPr>
            <w:r>
              <w:rPr/>
            </w:r>
          </w:p>
        </w:tc>
      </w:tr>
      <w:tr>
        <w:trPr/>
        <w:tc>
          <w:tcPr>
            <w:tcW w:w="1569" w:type="dxa"/>
            <w:tcBorders>
              <w:bottom w:val="single" w:sz="18" w:space="0" w:color="000000"/>
            </w:tcBorders>
          </w:tcPr>
          <w:p>
            <w:pPr>
              <w:pStyle w:val="Normal"/>
              <w:rPr>
                <w:b/>
              </w:rPr>
            </w:pPr>
            <w:r>
              <w:rPr>
                <w:b/>
              </w:rPr>
              <w:t>SUBJECT:</w:t>
            </w:r>
          </w:p>
        </w:tc>
        <w:tc>
          <w:tcPr>
            <w:tcW w:w="3762" w:type="dxa"/>
            <w:tcBorders>
              <w:bottom w:val="single" w:sz="18" w:space="0" w:color="000000"/>
            </w:tcBorders>
          </w:tcPr>
          <w:p>
            <w:pPr>
              <w:pStyle w:val="Normal"/>
              <w:rPr/>
            </w:pPr>
            <w:r>
              <w:rPr/>
              <w:t>Draft Agreements</w:t>
            </w:r>
          </w:p>
        </w:tc>
        <w:tc>
          <w:tcPr>
            <w:tcW w:w="1887" w:type="dxa"/>
            <w:tcBorders>
              <w:bottom w:val="single" w:sz="18" w:space="0" w:color="000000"/>
            </w:tcBorders>
          </w:tcPr>
          <w:p>
            <w:pPr>
              <w:pStyle w:val="Normal"/>
              <w:rPr>
                <w:b/>
              </w:rPr>
            </w:pPr>
            <w:r>
              <w:rPr>
                <w:b/>
              </w:rPr>
              <w:t>DATE:</w:t>
            </w:r>
          </w:p>
        </w:tc>
        <w:tc>
          <w:tcPr>
            <w:tcW w:w="2610" w:type="dxa"/>
            <w:gridSpan w:val="3"/>
            <w:tcBorders>
              <w:bottom w:val="single" w:sz="18" w:space="0" w:color="000000"/>
            </w:tcBorders>
          </w:tcPr>
          <w:p>
            <w:pPr>
              <w:pStyle w:val="Normal"/>
              <w:rPr/>
            </w:pPr>
            <w:r>
              <w:rPr/>
              <w:t>February 23, 2001</w:t>
            </w:r>
          </w:p>
          <w:p>
            <w:pPr>
              <w:pStyle w:val="Normal"/>
              <w:rPr/>
            </w:pPr>
            <w:r>
              <w:rPr/>
            </w:r>
          </w:p>
        </w:tc>
      </w:tr>
    </w:tbl>
    <w:p>
      <w:pPr>
        <w:pStyle w:val="Normal"/>
        <w:tabs>
          <w:tab w:val="clear" w:pos="720"/>
          <w:tab w:val="left" w:pos="1344" w:leader="none"/>
          <w:tab w:val="left" w:pos="5106" w:leader="none"/>
          <w:tab w:val="left" w:pos="7254" w:leader="none"/>
        </w:tabs>
        <w:jc w:val="both"/>
        <w:rPr/>
      </w:pPr>
      <w:r>
        <w:rPr/>
      </w:r>
    </w:p>
    <w:p>
      <w:pPr>
        <w:pStyle w:val="Normal"/>
        <w:tabs>
          <w:tab w:val="clear" w:pos="720"/>
          <w:tab w:val="left" w:pos="1344" w:leader="none"/>
          <w:tab w:val="left" w:pos="5106" w:leader="none"/>
          <w:tab w:val="left" w:pos="7254" w:leader="none"/>
        </w:tabs>
        <w:jc w:val="both"/>
        <w:rPr/>
      </w:pPr>
      <w:r>
        <w:rPr/>
        <w:t xml:space="preserve">Attached are drafts of the Common Stock Purchase Agreement, Stockholders' Agreement, Warrant to Acquire Common Shares, and Co-Marketing Agreement for your review.  As you requested, the Common Stock Purchase Agreement and Stockholders' Agreement have been redlined against clean versions of those agreements incorporating our prior comments.  The Warrant is marked against the version that you previously provided to us. </w:t>
      </w:r>
    </w:p>
    <w:p>
      <w:pPr>
        <w:pStyle w:val="Normal"/>
        <w:tabs>
          <w:tab w:val="clear" w:pos="720"/>
          <w:tab w:val="left" w:pos="1344" w:leader="none"/>
          <w:tab w:val="left" w:pos="5106" w:leader="none"/>
          <w:tab w:val="left" w:pos="7254" w:leader="none"/>
        </w:tabs>
        <w:jc w:val="both"/>
        <w:rPr/>
      </w:pPr>
      <w:r>
        <w:rPr/>
      </w:r>
    </w:p>
    <w:p>
      <w:pPr>
        <w:pStyle w:val="Normal"/>
        <w:tabs>
          <w:tab w:val="clear" w:pos="720"/>
          <w:tab w:val="left" w:pos="1344" w:leader="none"/>
          <w:tab w:val="left" w:pos="5106" w:leader="none"/>
          <w:tab w:val="left" w:pos="7254" w:leader="none"/>
        </w:tabs>
        <w:jc w:val="both"/>
        <w:rPr/>
      </w:pPr>
      <w:r>
        <w:rPr/>
        <w:t xml:space="preserve">We have not marked the Co-Marketing Agreement against the version that you previously provided to us.  As the nature of that agreement has changed substantially since you generated the initial draft, the changes were so substantial that it would not have been worthwhile to review a marked version.  The attached draft of the Co-Marketing Agreement is intended to describe the transaction that you discussed with Drew while you were in Houston earlier this month.  </w:t>
      </w:r>
    </w:p>
    <w:p>
      <w:pPr>
        <w:pStyle w:val="Normal"/>
        <w:tabs>
          <w:tab w:val="clear" w:pos="720"/>
          <w:tab w:val="left" w:pos="1344" w:leader="none"/>
          <w:tab w:val="left" w:pos="5106" w:leader="none"/>
          <w:tab w:val="left" w:pos="7254" w:leader="none"/>
        </w:tabs>
        <w:jc w:val="both"/>
        <w:rPr/>
      </w:pPr>
      <w:r>
        <w:rPr/>
      </w:r>
    </w:p>
    <w:p>
      <w:pPr>
        <w:pStyle w:val="Normal"/>
        <w:tabs>
          <w:tab w:val="clear" w:pos="720"/>
          <w:tab w:val="left" w:pos="1344" w:leader="none"/>
          <w:tab w:val="left" w:pos="5106" w:leader="none"/>
          <w:tab w:val="left" w:pos="7254" w:leader="none"/>
        </w:tabs>
        <w:jc w:val="both"/>
        <w:rPr/>
      </w:pPr>
      <w:r>
        <w:rPr/>
        <w:t>We have briefly discussed with you certain proposed changes to the structure of the transaction that we have reflected in these documents.  Essentially, these changes involve separating the common equity investment and the co-marketing arrangement into two completely separate transactions in order to alleviate certain limitations on our ability to recognize income with respect to the common equity investment.  To explain in more detail, to the extent that the equity investment is "linked" to the co-marketing arrangement, we will be required to recognize income with respect to the equity investment over the life of the co-marketing arrangement, as opposed to at the time the investment is made.  In order to accelerate the recognition of income on the equity investment, the Common Stock investment and the Co-Marketing arrangement must be documented as completely independent transactions.  In light of these accounting constraints, certain elements of the structure -- particularly the clawback on the equity for failure to perform the co-marketing agreement – created a "link" between the two arrangements that would lead to undesirable accounting consequences for Enron.</w:t>
      </w:r>
    </w:p>
    <w:p>
      <w:pPr>
        <w:pStyle w:val="Normal"/>
        <w:tabs>
          <w:tab w:val="clear" w:pos="720"/>
          <w:tab w:val="left" w:pos="1344" w:leader="none"/>
          <w:tab w:val="left" w:pos="5106" w:leader="none"/>
          <w:tab w:val="left" w:pos="7254" w:leader="none"/>
        </w:tabs>
        <w:jc w:val="both"/>
        <w:rPr/>
      </w:pPr>
      <w:r>
        <w:rPr/>
        <w:t xml:space="preserve"> </w:t>
      </w:r>
    </w:p>
    <w:p>
      <w:pPr>
        <w:pStyle w:val="Normal"/>
        <w:tabs>
          <w:tab w:val="clear" w:pos="720"/>
          <w:tab w:val="left" w:pos="1344" w:leader="none"/>
          <w:tab w:val="left" w:pos="5106" w:leader="none"/>
          <w:tab w:val="left" w:pos="7254" w:leader="none"/>
        </w:tabs>
        <w:jc w:val="both"/>
        <w:rPr/>
      </w:pPr>
      <w:r>
        <w:rPr/>
        <w:t>Accordingly, we have revised the documents to provide for two independent transactions.  The equity clawback previously provided in the Co-Marketing Agreement has been deleted, and we have identified separate consideration to support the 12.5% equity to be issued to us under the common stock purchase agreement.  Any consideration identified in the Common Stock Purchase Agreement must be delivered to Kiodex by March 31, 2001; however, we are willing to discuss additional forms of consideration that we could deliver in exchange for the equity within this time frame.</w:t>
      </w:r>
    </w:p>
    <w:p>
      <w:pPr>
        <w:pStyle w:val="Normal"/>
        <w:tabs>
          <w:tab w:val="clear" w:pos="720"/>
          <w:tab w:val="left" w:pos="1344" w:leader="none"/>
          <w:tab w:val="left" w:pos="5106" w:leader="none"/>
          <w:tab w:val="left" w:pos="7254" w:leader="none"/>
        </w:tabs>
        <w:jc w:val="both"/>
        <w:rPr/>
      </w:pPr>
      <w:r>
        <w:rPr/>
      </w:r>
    </w:p>
    <w:p>
      <w:pPr>
        <w:pStyle w:val="Normal"/>
        <w:tabs>
          <w:tab w:val="clear" w:pos="720"/>
          <w:tab w:val="left" w:pos="1344" w:leader="none"/>
          <w:tab w:val="left" w:pos="5106" w:leader="none"/>
          <w:tab w:val="left" w:pos="7254" w:leader="none"/>
        </w:tabs>
        <w:jc w:val="both"/>
        <w:rPr/>
      </w:pPr>
      <w:r>
        <w:rPr/>
        <w:t>In addition, you will note that while we have provided for a five-year term for the co-marketing agreement, we have also provided for a right by each of Kiodex and Enron to terminate the co-marketing agreement any time after the two-year anniversary of product launch.   While the commercial people clearly need to discuss this change in terms, Enron’s corporate position is that the markets, particularly on-line energy commodities trading, are changing so rapidly it is difficult if not impossible to predict what the on-line world will look like more than two years from today.  Enron is optimistic that both Kiodex’s and EnronOnline’s products and services will be successful and that this co-marketing relationship will be long and fruitful; however, we also believe it is in both parties’ best interests to have an opportunity to evaluate the market and our relationship prior to the five years initially contemplated.</w:t>
      </w:r>
    </w:p>
    <w:p>
      <w:pPr>
        <w:pStyle w:val="Normal"/>
        <w:tabs>
          <w:tab w:val="clear" w:pos="720"/>
          <w:tab w:val="left" w:pos="1344" w:leader="none"/>
          <w:tab w:val="left" w:pos="5106" w:leader="none"/>
          <w:tab w:val="left" w:pos="7254" w:leader="none"/>
        </w:tabs>
        <w:jc w:val="both"/>
        <w:rPr/>
      </w:pPr>
      <w:r>
        <w:rPr/>
      </w:r>
    </w:p>
    <w:p>
      <w:pPr>
        <w:pStyle w:val="Normal"/>
        <w:tabs>
          <w:tab w:val="clear" w:pos="720"/>
          <w:tab w:val="left" w:pos="1344" w:leader="none"/>
          <w:tab w:val="left" w:pos="5106" w:leader="none"/>
          <w:tab w:val="left" w:pos="7254" w:leader="none"/>
        </w:tabs>
        <w:jc w:val="both"/>
        <w:rPr/>
      </w:pPr>
      <w:r>
        <w:rPr/>
        <w:t>Finally, we believe that Kiodex has yet to provide us with a few due diligence items, including financial statements and a detailed current and pro-forma capitalization tables.  Raj, could you contact Mike Telle to make sure that he has everything that he has requested?  In addition, we would like to see the Registration Rights Agreement, Employment Agreements, and the Warburg documents as soon as you can get them to us.</w:t>
      </w:r>
    </w:p>
    <w:p>
      <w:pPr>
        <w:pStyle w:val="Normal"/>
        <w:tabs>
          <w:tab w:val="clear" w:pos="720"/>
          <w:tab w:val="left" w:pos="1344" w:leader="none"/>
          <w:tab w:val="left" w:pos="5106" w:leader="none"/>
          <w:tab w:val="left" w:pos="7254" w:leader="none"/>
        </w:tabs>
        <w:jc w:val="both"/>
        <w:rPr/>
      </w:pPr>
      <w:r>
        <w:rPr/>
      </w:r>
    </w:p>
    <w:p>
      <w:pPr>
        <w:pStyle w:val="BodyText"/>
        <w:rPr/>
      </w:pPr>
      <w:r>
        <w:rPr/>
        <w:t xml:space="preserve">We anticipate that some of the changes in these documents will be difficult for Kiodex to address without additional background, particularly on the structuring issues.  We would be pleased to schedule a call with you at your convenience to discuss the more significant changes and issues.  </w:t>
      </w:r>
    </w:p>
    <w:p>
      <w:pPr>
        <w:pStyle w:val="BodyText"/>
        <w:rPr/>
      </w:pPr>
      <w:r>
        <w:rPr/>
      </w:r>
    </w:p>
    <w:p>
      <w:pPr>
        <w:pStyle w:val="BodyText"/>
        <w:tabs>
          <w:tab w:val="left" w:pos="720" w:leader="none"/>
          <w:tab w:val="left" w:pos="1344" w:leader="none"/>
          <w:tab w:val="left" w:pos="5106" w:leader="none"/>
          <w:tab w:val="left" w:pos="7254" w:leader="none"/>
        </w:tabs>
        <w:rPr/>
      </w:pPr>
      <w:r>
        <w:rPr/>
        <w:t>cc:</w:t>
        <w:tab/>
        <w:t>Drew Ries</w:t>
      </w:r>
    </w:p>
    <w:p>
      <w:pPr>
        <w:pStyle w:val="BodyText"/>
        <w:tabs>
          <w:tab w:val="left" w:pos="720" w:leader="none"/>
          <w:tab w:val="left" w:pos="1344" w:leader="none"/>
          <w:tab w:val="left" w:pos="5106" w:leader="none"/>
          <w:tab w:val="left" w:pos="7254" w:leader="none"/>
        </w:tabs>
        <w:rPr/>
      </w:pPr>
      <w:r>
        <w:rPr/>
        <w:tab/>
        <w:t>Jay Fitzgerald</w:t>
      </w:r>
    </w:p>
    <w:p>
      <w:pPr>
        <w:pStyle w:val="BodyText"/>
        <w:tabs>
          <w:tab w:val="left" w:pos="720" w:leader="none"/>
          <w:tab w:val="left" w:pos="1344" w:leader="none"/>
          <w:tab w:val="left" w:pos="5106" w:leader="none"/>
          <w:tab w:val="left" w:pos="7254" w:leader="none"/>
        </w:tabs>
        <w:rPr/>
      </w:pPr>
      <w:r>
        <w:rPr/>
        <w:tab/>
        <w:t>Andy Zipper</w:t>
      </w:r>
    </w:p>
    <w:p>
      <w:pPr>
        <w:pStyle w:val="BodyText"/>
        <w:tabs>
          <w:tab w:val="left" w:pos="720" w:leader="none"/>
          <w:tab w:val="left" w:pos="1344" w:leader="none"/>
          <w:tab w:val="left" w:pos="5106" w:leader="none"/>
          <w:tab w:val="left" w:pos="7254" w:leader="none"/>
        </w:tabs>
        <w:rPr/>
      </w:pPr>
      <w:r>
        <w:rPr/>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clear" w:pos="720"/>
        <w:tab w:val="left" w:pos="1344" w:leader="none"/>
        <w:tab w:val="left" w:pos="5106" w:leader="none"/>
        <w:tab w:val="left" w:pos="7254"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2001-02-23T19:10:00Z</dcterms:created>
  <dc:creator>tmccull</dc:creator>
  <dc:description/>
  <dc:language>en-CA</dc:language>
  <cp:lastModifiedBy>Travis McCullough</cp:lastModifiedBy>
  <cp:lastPrinted>2001-02-23T15:36:00Z</cp:lastPrinted>
  <dcterms:modified xsi:type="dcterms:W3CDTF">2001-02-23T19:12:00Z</dcterms:modified>
  <cp:revision>5</cp:revision>
  <dc:subject/>
  <dc:title> </dc:title>
</cp:coreProperties>
</file>