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VC0917.1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Crude Oil</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$26.30000 per Barrel</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arithmetic average of the daily settlement prices for the prompt month of the NYMEX Light Sweet Crude Oil Futures Contract for each NYMEX Trading Day during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r>
        <w:trPr/>
        <w:tc>
          <w:tcPr>
            <w:tcW w:w="10152" w:type="dxa"/>
            <w:gridSpan w:val="2"/>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rPr>
        <w:fldChar w:fldCharType="begin"/>
      </w:r>
      <w:r>
        <w:rPr>
          <w:rFonts w:cs="Times New Roman" w:ascii="Times New Roman" w:hAnsi="Times New Roman"/>
        </w:rPr>
        <w:instrText xml:space="preserve"> MERGEFIELD CanadaSecurityLanguage </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 xml:space="preserve"> </w:t>
              <w:br/>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Robert Bowen</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Agent and Attorney-in-Fact</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 xml:space="preserve">       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Contract No. VC0917.1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Quantity Measurement: Barrels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Calculation                   Per Calculation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 xml:space="preserve">     Period                             Period                          ( per Barrels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June, 2001</w:t>
        <w:tab/>
        <w:tab/>
        <w:tab/>
        <w:t>5,319</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July, 2001</w:t>
        <w:tab/>
        <w:tab/>
        <w:tab/>
        <w:t>4,857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August, 2001</w:t>
        <w:tab/>
        <w:tab/>
        <w:tab/>
        <w:t>4,455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September, 2001</w:t>
        <w:tab/>
        <w:tab/>
        <w:t>4,102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October, 2001</w:t>
        <w:tab/>
        <w:tab/>
        <w:tab/>
        <w:t>3,971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November, 2001</w:t>
        <w:tab/>
        <w:tab/>
        <w:t>3,738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December, 2001</w:t>
        <w:tab/>
        <w:tab/>
        <w:t>3,536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January, 2002</w:t>
        <w:tab/>
        <w:tab/>
        <w:tab/>
        <w:t>3,285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February, 2002</w:t>
        <w:tab/>
        <w:tab/>
        <w:tab/>
        <w:t>3,061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March, 2002</w:t>
        <w:tab/>
        <w:tab/>
        <w:tab/>
        <w:t>2,860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April, 2002</w:t>
        <w:tab/>
        <w:tab/>
        <w:tab/>
        <w:t>2,678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May, 2002</w:t>
        <w:tab/>
        <w:tab/>
        <w:tab/>
        <w:t>2,587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June, 2002</w:t>
        <w:tab/>
        <w:tab/>
        <w:tab/>
        <w:t>2,390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July, 2002</w:t>
        <w:tab/>
        <w:tab/>
        <w:tab/>
        <w:t>2,430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August, 2002</w:t>
        <w:tab/>
        <w:tab/>
        <w:tab/>
        <w:t>2,342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September, 2002</w:t>
        <w:tab/>
        <w:tab/>
        <w:t>2,408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October, 2002</w:t>
        <w:tab/>
        <w:tab/>
        <w:tab/>
        <w:t>2,451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November, 2002</w:t>
        <w:tab/>
        <w:tab/>
        <w:t>2,340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December, 2002</w:t>
        <w:tab/>
        <w:tab/>
        <w:t>2,176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January, 2003</w:t>
        <w:tab/>
        <w:tab/>
        <w:tab/>
        <w:t>2,035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February, 2003</w:t>
        <w:tab/>
        <w:tab/>
        <w:tab/>
        <w:t>1,911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March, 2003</w:t>
        <w:tab/>
        <w:tab/>
        <w:tab/>
        <w:t>1,817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April, 2003</w:t>
        <w:tab/>
        <w:tab/>
        <w:tab/>
        <w:t>1,717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May, 2003</w:t>
        <w:tab/>
        <w:tab/>
        <w:tab/>
        <w:t>1,698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End Of Attachment</w:t>
      </w:r>
    </w:p>
    <w:sectPr>
      <w:headerReference w:type="default" r:id="rId3"/>
      <w:footerReference w:type="default" r:id="rId4"/>
      <w:type w:val="continuous"/>
      <w:pgSz w:w="12240" w:h="15840"/>
      <w:pgMar w:left="1152" w:right="1152" w:gutter="0" w:header="720" w:top="1296" w:footer="720" w:bottom="129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VC0917.1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2001-05-25T13:18:00Z</dcterms:created>
  <dc:creator>ECT</dc:creator>
  <dc:description/>
  <dc:language>en-CA</dc:language>
  <cp:lastModifiedBy>danders2</cp:lastModifiedBy>
  <dcterms:modified xsi:type="dcterms:W3CDTF">2001-05-25T13:18:00Z</dcterms:modified>
  <cp:revision>2</cp:revision>
  <dc:subject>KCS Energy Marketing Inc.</dc:subject>
  <dc:title>VC0917.1</dc:title>
</cp:coreProperties>
</file>