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as amended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Terms used but not otherwise defined herein shall have the meanings given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pPr>
      <w:r>
        <w:rPr/>
      </w:r>
    </w:p>
    <w:p>
      <w:pPr>
        <w:pStyle w:val="Normal"/>
        <w:rPr>
          <w:rFonts w:ascii="Times New Roman" w:hAnsi="Times New Roman" w:cs="Times New Roman"/>
          <w:b/>
          <w:bCs/>
        </w:rPr>
      </w:pPr>
      <w:r>
        <w:rPr>
          <w:rFonts w:cs="Times New Roman" w:ascii="Times New Roman" w:hAnsi="Times New Roman"/>
          <w:b/>
          <w:bCs/>
        </w:rPr>
        <w:t>Additional Provisions:</w:t>
      </w:r>
    </w:p>
    <w:p>
      <w:pPr>
        <w:pStyle w:val="Footer"/>
        <w:tabs>
          <w:tab w:val="clear" w:pos="4320"/>
          <w:tab w:val="clear" w:pos="8640"/>
        </w:tabs>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u w:val="single"/>
        </w:rPr>
        <w:t>Unilateral Right of Termination</w:t>
      </w:r>
      <w:r>
        <w:rPr>
          <w:rFonts w:cs="Times New Roman" w:ascii="Times New Roman" w:hAnsi="Times New Roman"/>
        </w:rPr>
        <w:t>.</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parties agree that if by </w:t>
      </w:r>
      <w:r>
        <w:rPr>
          <w:rFonts w:cs="Times New Roman" w:ascii="Times New Roman" w:hAnsi="Times New Roman"/>
          <w:color w:val="FF0000"/>
        </w:rPr>
        <w:t>5:00 p.m. C.S.T.</w:t>
      </w:r>
      <w:r>
        <w:rPr>
          <w:rFonts w:cs="Times New Roman" w:ascii="Times New Roman" w:hAnsi="Times New Roman"/>
        </w:rPr>
        <w:t xml:space="preserve"> on June 15, 2001, as such date may be mutually amended (the “Closing Time”), KCS Resources, Inc.  and ENA, or their designees, have not executed definitive agreements for the purchase and sale of a  </w:t>
      </w:r>
      <w:del w:id="0" w:author="sshackl" w:date="2001-05-30T14:02:00Z">
        <w:r>
          <w:rPr>
            <w:rFonts w:cs="Times New Roman" w:ascii="Times New Roman" w:hAnsi="Times New Roman"/>
          </w:rPr>
          <w:delText xml:space="preserve">the </w:delText>
        </w:r>
      </w:del>
      <w:r>
        <w:rPr>
          <w:rFonts w:cs="Times New Roman" w:ascii="Times New Roman" w:hAnsi="Times New Roman"/>
        </w:rPr>
        <w:t>term overriding royalty</w:t>
      </w:r>
      <w:ins w:id="1" w:author="sshackl" w:date="2001-05-30T14:12:00Z">
        <w:r>
          <w:rPr>
            <w:rFonts w:cs="Times New Roman" w:ascii="Times New Roman" w:hAnsi="Times New Roman"/>
          </w:rPr>
          <w:t xml:space="preserve"> (the “ORRI”)</w:t>
        </w:r>
      </w:ins>
      <w:r>
        <w:rPr>
          <w:rFonts w:cs="Times New Roman" w:ascii="Times New Roman" w:hAnsi="Times New Roman"/>
        </w:rPr>
        <w:t xml:space="preserve">  in accordance with the terms and conditions of the Letter of Understanding dated May 23, 2001 executed by KCS Resources, Inc. and ENA</w:t>
      </w:r>
      <w:ins w:id="2" w:author="sshackl" w:date="2001-05-30T14:13:00Z">
        <w:r>
          <w:rPr>
            <w:rFonts w:cs="Times New Roman" w:ascii="Times New Roman" w:hAnsi="Times New Roman"/>
          </w:rPr>
          <w:t xml:space="preserve"> (the “LOU”)</w:t>
        </w:r>
      </w:ins>
      <w:r>
        <w:rPr>
          <w:rFonts w:cs="Times New Roman" w:ascii="Times New Roman" w:hAnsi="Times New Roman"/>
        </w:rPr>
        <w:t xml:space="preserve"> , which Letter of Understanding is incorporated by reference herein, then ENA shall have the unilateral right, but not the obligation, to terminate this Transaction and ENA Commodity Swap VC0975.1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Within two (2) Business Days of the Closing Time, ENA shall notify Counterparty of its intention to terminate this Transaction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defining “Loss”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u w:val="single"/>
        </w:rPr>
        <w:t>Collateral Annex</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ns w:id="3" w:author="sshackl" w:date="2001-05-30T14:02:00Z"/>
        </w:rPr>
      </w:pPr>
      <w:r>
        <w:rPr>
          <w:rFonts w:cs="Times New Roman" w:ascii="Times New Roman" w:hAnsi="Times New Roman"/>
        </w:rPr>
        <w:t>“</w:t>
      </w:r>
      <w:r>
        <w:rPr>
          <w:rFonts w:cs="Times New Roman" w:ascii="Times New Roman" w:hAnsi="Times New Roman"/>
        </w:rPr>
        <w:t xml:space="preserve">Exposure Threshold” shall mean, with respect to (i) ENA, none,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rFonts w:ascii="Times New Roman" w:hAnsi="Times New Roman" w:cs="Times New Roman"/>
          <w:ins w:id="5" w:author="sshackl" w:date="2001-05-30T14:02:00Z"/>
        </w:rPr>
      </w:pPr>
      <w:ins w:id="4" w:author="sshackl" w:date="2001-05-30T14:02:00Z">
        <w:r>
          <w:rPr>
            <w:rFonts w:cs="Times New Roman" w:ascii="Times New Roman" w:hAnsi="Times New Roman"/>
          </w:rPr>
        </w:r>
      </w:ins>
    </w:p>
    <w:p>
      <w:pPr>
        <w:pStyle w:val="Normal"/>
        <w:numPr>
          <w:ilvl w:val="0"/>
          <w:numId w:val="2"/>
        </w:numPr>
        <w:rPr>
          <w:rFonts w:ascii="Times New Roman" w:hAnsi="Times New Roman" w:cs="Times New Roman"/>
          <w:u w:val="single"/>
          <w:ins w:id="7" w:author="sshackl" w:date="2001-05-30T14:13:00Z"/>
        </w:rPr>
      </w:pPr>
      <w:ins w:id="6" w:author="sshackl" w:date="2001-05-30T14:02:00Z">
        <w:r>
          <w:rPr>
            <w:rFonts w:cs="Times New Roman" w:ascii="Times New Roman" w:hAnsi="Times New Roman"/>
            <w:u w:val="single"/>
          </w:rPr>
          <w:t>Consent of KCS Resources, Inc.</w:t>
        </w:r>
      </w:ins>
    </w:p>
    <w:p>
      <w:pPr>
        <w:pStyle w:val="Normal"/>
        <w:rPr>
          <w:rFonts w:ascii="Times New Roman" w:hAnsi="Times New Roman" w:cs="Times New Roman"/>
          <w:u w:val="single"/>
          <w:ins w:id="9" w:author="sshackl" w:date="2001-05-30T14:13:00Z"/>
        </w:rPr>
      </w:pPr>
      <w:ins w:id="8" w:author="sshackl" w:date="2001-05-30T14:13:00Z">
        <w:r>
          <w:rPr>
            <w:rFonts w:cs="Times New Roman" w:ascii="Times New Roman" w:hAnsi="Times New Roman"/>
            <w:u w:val="single"/>
          </w:rPr>
        </w:r>
      </w:ins>
    </w:p>
    <w:p>
      <w:pPr>
        <w:pStyle w:val="Normal"/>
        <w:rPr>
          <w:rFonts w:ascii="Times New Roman" w:hAnsi="Times New Roman" w:cs="Times New Roman"/>
          <w:u w:val="single"/>
          <w:ins w:id="14" w:author="sshackl" w:date="2001-05-30T14:03:00Z"/>
        </w:rPr>
      </w:pPr>
      <w:ins w:id="10" w:author="sshackl" w:date="2001-05-30T14:13:00Z">
        <w:r>
          <w:rPr>
            <w:rFonts w:cs="Times New Roman" w:ascii="Times New Roman" w:hAnsi="Times New Roman"/>
            <w:u w:val="single"/>
          </w:rPr>
          <w:t xml:space="preserve">If KCS Resources, Inc. and ENA or their designees have not executed definitive agreements for the purchase and sale of the ORRI by the Closing Time, then ENA, Counterparty and KCS Resources, Inc. hereby agree that (i) the second and third sentences of Paragraph 4 of the LOU shall be deleted therefrom and (ii) Paragraph (1)(b) of this Confirmation shall be the only provision that governs </w:t>
        </w:r>
      </w:ins>
      <w:ins w:id="11" w:author="sshackl" w:date="2001-05-30T14:20:00Z">
        <w:r>
          <w:rPr>
            <w:rFonts w:cs="Times New Roman" w:ascii="Times New Roman" w:hAnsi="Times New Roman"/>
            <w:u w:val="single"/>
          </w:rPr>
          <w:t xml:space="preserve">settlement for the </w:t>
        </w:r>
      </w:ins>
      <w:ins w:id="12" w:author="sshackl" w:date="2001-05-30T14:13:00Z">
        <w:r>
          <w:rPr>
            <w:rFonts w:cs="Times New Roman" w:ascii="Times New Roman" w:hAnsi="Times New Roman"/>
            <w:u w:val="single"/>
          </w:rPr>
          <w:t>termination of this Transaction.</w:t>
        </w:r>
      </w:ins>
      <w:ins w:id="13" w:author="sshackl" w:date="2001-05-30T14:20:00Z">
        <w:r>
          <w:rPr>
            <w:rFonts w:cs="Times New Roman" w:ascii="Times New Roman" w:hAnsi="Times New Roman"/>
            <w:u w:val="single"/>
          </w:rPr>
          <w:t xml:space="preserve">  KCS Resources, Inc. appears herein and has executed this Confirmation for the sole purpose of signifying its consent to the provisions of this Paragraph (3) of the Confirmation.</w:t>
        </w:r>
      </w:ins>
    </w:p>
    <w:p>
      <w:pPr>
        <w:pStyle w:val="Normal"/>
        <w:rPr>
          <w:rFonts w:ascii="Times New Roman" w:hAnsi="Times New Roman" w:cs="Times New Roman"/>
          <w:u w:val="single"/>
          <w:ins w:id="16" w:author="sshackl" w:date="2001-05-30T14:03:00Z"/>
        </w:rPr>
      </w:pPr>
      <w:ins w:id="15" w:author="sshackl" w:date="2001-05-30T14:03:00Z">
        <w:r>
          <w:rPr>
            <w:rFonts w:cs="Times New Roman" w:ascii="Times New Roman" w:hAnsi="Times New Roman"/>
            <w:u w:val="single"/>
          </w:rPr>
        </w:r>
      </w:ins>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ins w:id="17" w:author="sshackl" w:date="2001-05-30T14:22:00Z"/>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p>
            <w:pPr>
              <w:pStyle w:val="Normal"/>
              <w:rPr>
                <w:rFonts w:ascii="Times New Roman" w:hAnsi="Times New Roman" w:cs="Times New Roman"/>
                <w:ins w:id="19" w:author="sshackl" w:date="2001-05-30T14:22:00Z"/>
              </w:rPr>
            </w:pPr>
            <w:ins w:id="18" w:author="sshackl" w:date="2001-05-30T14:22:00Z">
              <w:r>
                <w:rPr>
                  <w:rFonts w:cs="Times New Roman" w:ascii="Times New Roman" w:hAnsi="Times New Roman"/>
                </w:rPr>
              </w:r>
            </w:ins>
          </w:p>
          <w:p>
            <w:pPr>
              <w:pStyle w:val="Normal"/>
              <w:rPr>
                <w:rFonts w:ascii="Times New Roman" w:hAnsi="Times New Roman" w:cs="Times New Roman"/>
                <w:ins w:id="21" w:author="sshackl" w:date="2001-05-30T14:22:00Z"/>
              </w:rPr>
            </w:pPr>
            <w:ins w:id="20" w:author="sshackl" w:date="2001-05-30T14:22:00Z">
              <w:r>
                <w:rPr>
                  <w:rFonts w:cs="Times New Roman" w:ascii="Times New Roman" w:hAnsi="Times New Roman"/>
                </w:rPr>
              </w:r>
            </w:ins>
          </w:p>
          <w:p>
            <w:pPr>
              <w:pStyle w:val="Normal"/>
              <w:rPr>
                <w:rFonts w:ascii="Times New Roman" w:hAnsi="Times New Roman" w:cs="Times New Roman"/>
                <w:ins w:id="23" w:author="sshackl" w:date="2001-05-30T14:22:00Z"/>
              </w:rPr>
            </w:pPr>
            <w:ins w:id="22" w:author="sshackl" w:date="2001-05-30T14:22:00Z">
              <w:r>
                <w:rPr>
                  <w:rFonts w:cs="Times New Roman" w:ascii="Times New Roman" w:hAnsi="Times New Roman"/>
                </w:rPr>
              </w:r>
            </w:ins>
          </w:p>
          <w:p>
            <w:pPr>
              <w:pStyle w:val="Normal"/>
              <w:rPr>
                <w:rFonts w:ascii="Times New Roman" w:hAnsi="Times New Roman" w:cs="Times New Roman"/>
                <w:ins w:id="25" w:author="sshackl" w:date="2001-05-30T14:22:00Z"/>
              </w:rPr>
            </w:pPr>
            <w:ins w:id="24" w:author="sshackl" w:date="2001-05-30T14:22:00Z">
              <w:r>
                <w:rPr>
                  <w:rFonts w:cs="Times New Roman" w:ascii="Times New Roman" w:hAnsi="Times New Roman"/>
                </w:rPr>
                <w:t>KCS Resources, Inc., appearing for the purpose of</w:t>
              </w:r>
            </w:ins>
          </w:p>
          <w:p>
            <w:pPr>
              <w:pStyle w:val="Normal"/>
              <w:rPr>
                <w:ins w:id="27" w:author="sshackl" w:date="2001-05-30T14:22:00Z"/>
              </w:rPr>
            </w:pPr>
            <w:ins w:id="26" w:author="sshackl" w:date="2001-05-30T14:22:00Z">
              <w:r>
                <w:rPr>
                  <w:rFonts w:cs="Times New Roman" w:ascii="Times New Roman" w:hAnsi="Times New Roman"/>
                </w:rPr>
                <w:t>acknowledging its consent to Paragraph (3)</w:t>
              </w:r>
            </w:ins>
          </w:p>
          <w:p>
            <w:pPr>
              <w:pStyle w:val="Normal"/>
              <w:rPr>
                <w:rFonts w:ascii="Times New Roman" w:hAnsi="Times New Roman" w:cs="Times New Roman"/>
                <w:ins w:id="29" w:author="sshackl" w:date="2001-05-30T14:22:00Z"/>
              </w:rPr>
            </w:pPr>
            <w:ins w:id="28" w:author="sshackl" w:date="2001-05-30T14:22:00Z">
              <w:r>
                <w:rPr>
                  <w:rFonts w:cs="Times New Roman" w:ascii="Times New Roman" w:hAnsi="Times New Roman"/>
                </w:rPr>
              </w:r>
            </w:ins>
          </w:p>
          <w:p>
            <w:pPr>
              <w:pStyle w:val="Normal"/>
              <w:rPr>
                <w:rFonts w:ascii="Times New Roman" w:hAnsi="Times New Roman" w:cs="Times New Roman"/>
                <w:ins w:id="31" w:author="sshackl" w:date="2001-05-30T14:22:00Z"/>
              </w:rPr>
            </w:pPr>
            <w:ins w:id="30" w:author="sshackl" w:date="2001-05-30T14:22:00Z">
              <w:r>
                <w:rPr>
                  <w:rFonts w:cs="Times New Roman" w:ascii="Times New Roman" w:hAnsi="Times New Roman"/>
                </w:rPr>
                <w:t>By:</w:t>
              </w:r>
            </w:ins>
          </w:p>
          <w:p>
            <w:pPr>
              <w:pStyle w:val="Normal"/>
              <w:rPr>
                <w:rFonts w:ascii="Times New Roman" w:hAnsi="Times New Roman" w:cs="Times New Roman"/>
                <w:ins w:id="33" w:author="sshackl" w:date="2001-05-30T14:22:00Z"/>
              </w:rPr>
            </w:pPr>
            <w:ins w:id="32" w:author="sshackl" w:date="2001-05-30T14:22:00Z">
              <w:r>
                <w:rPr>
                  <w:rFonts w:cs="Times New Roman" w:ascii="Times New Roman" w:hAnsi="Times New Roman"/>
                </w:rPr>
                <w:t>Name:</w:t>
              </w:r>
            </w:ins>
          </w:p>
          <w:p>
            <w:pPr>
              <w:pStyle w:val="Normal"/>
              <w:rPr>
                <w:rFonts w:ascii="Times New Roman" w:hAnsi="Times New Roman" w:cs="Times New Roman"/>
              </w:rPr>
            </w:pPr>
            <w:ins w:id="34" w:author="sshackl" w:date="2001-05-30T14:22:00Z">
              <w:r>
                <w:rPr>
                  <w:rFonts w:cs="Times New Roman" w:ascii="Times New Roman" w:hAnsi="Times New Roman"/>
                </w:rPr>
                <w:t>Title:</w:t>
              </w:r>
            </w:ins>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r>
      <w:r>
        <w:rPr>
          <w:rFonts w:cs="Times New Roman" w:ascii="Times New Roman" w:hAnsi="Times New Roman"/>
        </w:rPr>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2001-05-30T16:31:00Z</dcterms:created>
  <dc:creator>ECT</dc:creator>
  <dc:description/>
  <dc:language>en-CA</dc:language>
  <cp:lastModifiedBy>sshackl</cp:lastModifiedBy>
  <cp:lastPrinted>2001-05-30T14:26:00Z</cp:lastPrinted>
  <dcterms:modified xsi:type="dcterms:W3CDTF">2001-05-30T16:56:00Z</dcterms:modified>
  <cp:revision>10</cp:revision>
  <dc:subject>KCS Energy Marketing Inc.</dc:subject>
  <dc:title>VC0917.1</dc:title>
</cp:coreProperties>
</file>